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经济类榜单分析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第一组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（欧昊麟、唐琳、赖嘉杰、魏静、窦妮、林立华、方鸿健、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詹燕君、夏禹、黄伟俊、王敏、郭颖琪、卢泳莉、张梓轩）</w:t>
      </w:r>
    </w:p>
    <w:p>
      <w:pPr>
        <w:jc w:val="center"/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榜单结构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1056"/>
        <w:gridCol w:w="1056"/>
        <w:gridCol w:w="4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一级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二级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三级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计划与授予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国家计划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沿海开放城市名单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社会颁布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superscript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收缩型城市名单</w:t>
            </w:r>
            <w:r>
              <w:rPr>
                <w:rFonts w:hint="eastAsia"/>
                <w:vertAlign w:val="superscript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新一线城市名单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综合实力强的十个城市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生产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综合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GDP最高的十个城市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人均GDP最高的十个城市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第二产业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先进制造业城市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第三产业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上市公司最多的十个城市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城市商业魅力排行榜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外贸百强城市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福布斯中国大陆最佳商业城市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产业结构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最容易赚钱</w:t>
            </w:r>
            <w:r>
              <w:rPr>
                <w:rFonts w:hint="eastAsia"/>
                <w:vertAlign w:val="baseline"/>
                <w:lang w:val="en-US" w:eastAsia="zh-CN"/>
              </w:rPr>
              <w:t>的</w:t>
            </w:r>
            <w:r>
              <w:rPr>
                <w:rFonts w:hint="default"/>
                <w:vertAlign w:val="baseline"/>
                <w:lang w:val="en-US" w:eastAsia="zh-CN"/>
              </w:rPr>
              <w:t>十大城市排行榜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superscript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最难赚钱的十大城市排行榜</w:t>
            </w:r>
            <w:r>
              <w:rPr>
                <w:rFonts w:hint="eastAsia"/>
                <w:vertAlign w:val="superscript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restart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消费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消费水平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十大房价最高</w:t>
            </w:r>
            <w:r>
              <w:rPr>
                <w:rFonts w:hint="eastAsia"/>
                <w:vertAlign w:val="baseline"/>
                <w:lang w:val="en-US" w:eastAsia="zh-CN"/>
              </w:rPr>
              <w:t>的</w:t>
            </w:r>
            <w:r>
              <w:rPr>
                <w:rFonts w:hint="default"/>
                <w:vertAlign w:val="baseline"/>
                <w:lang w:val="en-US" w:eastAsia="zh-CN"/>
              </w:rPr>
              <w:t>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superscript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十大房价最低</w:t>
            </w:r>
            <w:r>
              <w:rPr>
                <w:rFonts w:hint="eastAsia"/>
                <w:vertAlign w:val="baseline"/>
                <w:lang w:val="en-US" w:eastAsia="zh-CN"/>
              </w:rPr>
              <w:t>的</w:t>
            </w:r>
            <w:r>
              <w:rPr>
                <w:rFonts w:hint="default"/>
                <w:vertAlign w:val="baseline"/>
                <w:lang w:val="en-US" w:eastAsia="zh-CN"/>
              </w:rPr>
              <w:t>城市</w:t>
            </w:r>
            <w:r>
              <w:rPr>
                <w:rFonts w:hint="eastAsia"/>
                <w:vertAlign w:val="superscript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消费最高的十大城市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消费能力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工资最高的十个城市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最有钱城市排行榜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年度富裕家庭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月薪过万人数占比城市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人均可支配收入最高的十大城市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5000—8000元月薪占该城受访者总数比例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消费潜力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十大最具潜力都市圈名单</w:t>
            </w:r>
          </w:p>
        </w:tc>
      </w:tr>
    </w:tbl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榜单分析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1、数据思考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1）城市出现次数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060"/>
        <w:gridCol w:w="1060"/>
        <w:gridCol w:w="638"/>
        <w:gridCol w:w="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城市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上榜次数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榜单总数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占比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广州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numPr>
                <w:ilvl w:val="0"/>
                <w:numId w:val="0"/>
              </w:numPr>
              <w:tabs>
                <w:tab w:val="left" w:pos="472"/>
                <w:tab w:val="center" w:pos="2082"/>
              </w:tabs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tabs>
                <w:tab w:val="left" w:pos="472"/>
                <w:tab w:val="center" w:pos="2082"/>
              </w:tabs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0.80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tabs>
                <w:tab w:val="left" w:pos="472"/>
                <w:tab w:val="center" w:pos="2082"/>
              </w:tabs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上海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tabs>
                <w:tab w:val="left" w:pos="472"/>
                <w:tab w:val="center" w:pos="2082"/>
              </w:tabs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0.75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tabs>
                <w:tab w:val="left" w:pos="472"/>
                <w:tab w:val="center" w:pos="2082"/>
              </w:tabs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深圳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0.75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北京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0.70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杭州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0.65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南京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0.60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天津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0.50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苏州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0.50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武汉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0.40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成都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0.35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重庆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0.35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宁波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0.35</w:t>
            </w:r>
          </w:p>
        </w:tc>
        <w:tc>
          <w:tcPr>
            <w:tcW w:w="0" w:type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</w:tbl>
    <w:p>
      <w:pPr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/>
        <w:jc w:val="both"/>
        <w:rPr>
          <w:rFonts w:hint="eastAsia"/>
          <w:highlight w:val="none"/>
          <w:lang w:val="en-US" w:eastAsia="zh-CN"/>
        </w:rPr>
      </w:pPr>
      <w:r>
        <w:rPr>
          <w:rFonts w:hint="eastAsia"/>
          <w:lang w:val="en-US" w:eastAsia="zh-CN"/>
        </w:rPr>
        <w:t>根据正向榜单排选出的上榜次数最多的城市。可以看到一线城市牢牢地占据榜首，证明“一线城市”至少从经济上处于“领先集团”。值得注意的是杭州表现强劲，</w:t>
      </w:r>
      <w:r>
        <w:rPr>
          <w:rFonts w:hint="eastAsia"/>
          <w:highlight w:val="none"/>
          <w:lang w:val="en-US" w:eastAsia="zh-CN"/>
        </w:rPr>
        <w:t>紧紧跟在一线城市后面。说明杭州势头猛，从经济实力角度有跃进一线城市的趋势与潜力。</w:t>
      </w:r>
    </w:p>
    <w:p>
      <w:pPr>
        <w:numPr>
          <w:ilvl w:val="0"/>
          <w:numId w:val="0"/>
        </w:numPr>
        <w:ind w:firstLine="420"/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纵观排名后五的城市，全部位于长江经济带地区。资料显示，2018年，长江经济带总人口约5.99亿人，占全国的42.9%；地区生产总值约40.3万亿元，占全国的44.1%。其中，下游地区约21.15万亿元，占长江经济带的52%；中游地区约9.78万亿元，占24.3%；上游地区约9.37万亿元，占23.3%。可以看到，一方面，长江经济带对我国经济贡献量占主要地位，是目前中国经济的重要引擎，重要推力。这也可以解释习近平在部署2015年经济时，把长江经济带作为我国重点实施的战略之一。另一方面，要警惕中西部地区差异，下游地区比中上游地区合计的经济产值还要多。当然，这里必须要补充，地域发展均等化是不现实的，要考虑国家战略与城市定位，因地制宜地分工，区域间协同发展是个人更支持的城市发展路线。</w:t>
      </w:r>
    </w:p>
    <w:p>
      <w:pPr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榜单结构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实际上，榜单的结构反映了评价城市的主要/主流指标。从城市的角度有GDP（由总体到每一个行业）、社会上颁布的称号等：从市民的角度有收入（包括工资/可支配收入），存储，消费水平等。</w:t>
      </w:r>
    </w:p>
    <w:p>
      <w:pPr>
        <w:pStyle w:val="3"/>
        <w:numPr>
          <w:ilvl w:val="0"/>
          <w:numId w:val="3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亮点分享</w:t>
      </w:r>
    </w:p>
    <w:p>
      <w:pPr>
        <w:numPr>
          <w:ilvl w:val="0"/>
          <w:numId w:val="4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榜单的寻找中，大多是具有正向意义的榜单，也许符合中国“家丑不外扬”的思维惯性。“收缩性城市”榜单的出现，说明社会关注“空洞城市化”的现象，不再片面地关注发展好的城市，也关注发展动力不足，结构性矛盾突出的城市。</w:t>
      </w:r>
    </w:p>
    <w:p>
      <w:pPr>
        <w:numPr>
          <w:ilvl w:val="0"/>
          <w:numId w:val="4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般认为北上广深应该是最富裕的，在光环效应影响下可能会认为其人均GDP也是最前的。实际上，上海未列入前四，其次，天津、重庆、成都等三个GDP总量前十的城市均不在人均前十之列，再者，深圳次于山东东营居于第二排名超过北上广。值得一提的是蒙古鄂尔多斯地级市排名第三，打破了一直以来的内陆地区发展落后的刻板印象。当然，人均GDP也需要配合上人口数量、物价水平、城市定位、产业结构等因素的综合考量，才能与“幸福感”等结论挂钩。</w:t>
      </w:r>
    </w:p>
    <w:p>
      <w:pPr>
        <w:numPr>
          <w:ilvl w:val="0"/>
          <w:numId w:val="4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香港的富裕家庭很多，排在全国第三。香港是全球高度繁荣的国际大都会之一，是继纽约、伦敦后的世界第三大金融中心，连续22年经济自由度指数位居世界首位（1995-2017）。在如此高度繁荣的社会环境，不难解释富裕家庭数量的高企。从回归祖国，到成为亚洲四小龙，再到如今的东方之珠、世界大都会，香港的迅速发展不仅有历史原因，更有制度原因。</w:t>
      </w:r>
    </w:p>
    <w:p>
      <w:pPr>
        <w:numPr>
          <w:ilvl w:val="0"/>
          <w:numId w:val="4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类似第一条，指标的选择反映舆论关注的倾向。榜单中有一条是“5000-8000</w:t>
      </w:r>
      <w:r>
        <w:rPr>
          <w:rFonts w:hint="default"/>
          <w:vertAlign w:val="baseline"/>
          <w:lang w:val="en-US" w:eastAsia="zh-CN"/>
        </w:rPr>
        <w:t>元月薪占该城受访者总数比例</w:t>
      </w:r>
      <w:r>
        <w:rPr>
          <w:rFonts w:hint="eastAsia"/>
          <w:vertAlign w:val="baseline"/>
          <w:lang w:val="en-US" w:eastAsia="zh-CN"/>
        </w:rPr>
        <w:t>”，基于5000元为个人得税所的起征点的考量，该区间应该属于低收入中等收入。说明社会比较关注中等收入群体在社会中的比例，这也许与我国强调实现橄榄型收入结构的舆论导向有关。</w:t>
      </w:r>
    </w:p>
    <w:p>
      <w:pPr>
        <w:widowControl w:val="0"/>
        <w:numPr>
          <w:ilvl w:val="0"/>
          <w:numId w:val="4"/>
        </w:numPr>
        <w:ind w:left="0" w:leftChars="0" w:firstLine="0" w:firstLineChars="0"/>
        <w:jc w:val="both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用赚钱难易程度反映产业结构，也是本次榜单调查的一点启示。榜单的制作方《投资时报》指出：“（城市最难赚钱，）是因为这些城市的上市公司多是电子、电气设备、纺织服装等劳动密集型的制造型企业，员工薪酬普遍不高”，而对于最容易赚钱的十大城市，他们的第三产业占比很高，金融业、高新技术产业，尤其是目前的互联网行业（深圳的腾讯、华为；广州的网易；上海的Bilibili）在这些城市蓬勃发展，员工薪酬普遍较高。因此，从某种角度来说，要想城市的平均薪酬得以提高，推动产业转型升级，大力发展第三产业是值得城市管理者借鉴与选择。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 xml:space="preserve">6）从排行榜上的各城市人均薪酬可见，中国在2015年各城市的收入差距相当大，最低薪酬与最高薪酬相差可达11万元，证明我国发展并不平衡。不平衡现象不仅存在于省际、东中西部地区之间，还存在于省内。广东省珠三角地区中，广州、深圳平均薪酬很高，但汕头的平均薪酬却很低，跟别说粤西的江门和粤北的梅州了。此外江苏省里面苏中的南通和苏南的南京相差很大。资源过分集聚于一两个经济发达的城市，同时经济发达的城市又由于自身强大的规模效益，拥有强大的资源吸附力，使得省内外资源加速积聚于经济发达市，而市经济实力欠缺的边缘城市资源不断流失，城市经济难以有效发展，形成马太效应，不利于中国城市整体水平的提升与长久发展。                            </w:t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三、疑惑提出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1、关于榜单：详见新一线城市榜单、赚钱难易榜单sheet</w:t>
      </w:r>
    </w:p>
    <w:p>
      <w:pPr>
        <w:numPr>
          <w:ilvl w:val="0"/>
          <w:numId w:val="0"/>
        </w:numPr>
        <w:jc w:val="both"/>
        <w:rPr>
          <w:rFonts w:hint="eastAsia"/>
          <w:highlight w:val="none"/>
          <w:lang w:val="en-US" w:eastAsia="zh-CN"/>
        </w:rPr>
      </w:pPr>
      <w:r>
        <w:rPr>
          <w:rFonts w:hint="eastAsia"/>
          <w:lang w:val="en-US" w:eastAsia="zh-CN"/>
        </w:rPr>
        <w:t>2、关于地区差异：地区差异的存在是否合理？</w:t>
      </w:r>
      <w:r>
        <w:rPr>
          <w:rFonts w:hint="eastAsia"/>
          <w:highlight w:val="none"/>
          <w:lang w:val="en-US" w:eastAsia="zh-CN"/>
        </w:rPr>
        <w:t>什么状态下是“合理的差异”，值得城市管理者思考。（e.g. GBA发展）</w:t>
      </w:r>
    </w:p>
    <w:p>
      <w:pPr>
        <w:numPr>
          <w:ilvl w:val="0"/>
          <w:numId w:val="0"/>
        </w:numPr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3、关于比较单位：用城市群作为比较单位是否更加科学？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D">
      <wne:fci wne:fciName="BottomCenterAlign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ADA5AB"/>
    <w:multiLevelType w:val="singleLevel"/>
    <w:tmpl w:val="E5ADA5AB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89859E7"/>
    <w:multiLevelType w:val="singleLevel"/>
    <w:tmpl w:val="089859E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8E1605A"/>
    <w:multiLevelType w:val="singleLevel"/>
    <w:tmpl w:val="08E1605A"/>
    <w:lvl w:ilvl="0" w:tentative="0">
      <w:start w:val="2"/>
      <w:numFmt w:val="decimal"/>
      <w:suff w:val="nothing"/>
      <w:lvlText w:val="%1）"/>
      <w:lvlJc w:val="left"/>
    </w:lvl>
  </w:abstractNum>
  <w:abstractNum w:abstractNumId="3">
    <w:nsid w:val="7727869B"/>
    <w:multiLevelType w:val="singleLevel"/>
    <w:tmpl w:val="7727869B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A355A"/>
    <w:rsid w:val="00A34CC4"/>
    <w:rsid w:val="00BE2195"/>
    <w:rsid w:val="01937B76"/>
    <w:rsid w:val="01C338C5"/>
    <w:rsid w:val="01E239C0"/>
    <w:rsid w:val="023F3B3D"/>
    <w:rsid w:val="024F764A"/>
    <w:rsid w:val="02976B7C"/>
    <w:rsid w:val="03D43F41"/>
    <w:rsid w:val="042029F4"/>
    <w:rsid w:val="045064D6"/>
    <w:rsid w:val="049A697E"/>
    <w:rsid w:val="04DE67F3"/>
    <w:rsid w:val="054C3475"/>
    <w:rsid w:val="05931683"/>
    <w:rsid w:val="06064830"/>
    <w:rsid w:val="062A2A1C"/>
    <w:rsid w:val="067C0937"/>
    <w:rsid w:val="07673646"/>
    <w:rsid w:val="07C52ACD"/>
    <w:rsid w:val="07F90CF7"/>
    <w:rsid w:val="080C201A"/>
    <w:rsid w:val="095E6079"/>
    <w:rsid w:val="097961EC"/>
    <w:rsid w:val="09C01C54"/>
    <w:rsid w:val="09F16D0E"/>
    <w:rsid w:val="0AF101BD"/>
    <w:rsid w:val="0B5624EB"/>
    <w:rsid w:val="0B873C77"/>
    <w:rsid w:val="0CB34620"/>
    <w:rsid w:val="0DE503AD"/>
    <w:rsid w:val="0FFC1ABE"/>
    <w:rsid w:val="113210A3"/>
    <w:rsid w:val="127B6E46"/>
    <w:rsid w:val="13F024DA"/>
    <w:rsid w:val="1410544C"/>
    <w:rsid w:val="142120A3"/>
    <w:rsid w:val="145F34A2"/>
    <w:rsid w:val="15CD7221"/>
    <w:rsid w:val="166701A3"/>
    <w:rsid w:val="16D9605A"/>
    <w:rsid w:val="16F6441F"/>
    <w:rsid w:val="17810832"/>
    <w:rsid w:val="17F372C0"/>
    <w:rsid w:val="18475419"/>
    <w:rsid w:val="18493C39"/>
    <w:rsid w:val="184B2064"/>
    <w:rsid w:val="18542013"/>
    <w:rsid w:val="18AD7E62"/>
    <w:rsid w:val="18B16552"/>
    <w:rsid w:val="18C270E3"/>
    <w:rsid w:val="18CE7290"/>
    <w:rsid w:val="18DF1BAF"/>
    <w:rsid w:val="1A7561C4"/>
    <w:rsid w:val="1B3D1957"/>
    <w:rsid w:val="1B8A5358"/>
    <w:rsid w:val="1BE42EE3"/>
    <w:rsid w:val="1CA568F5"/>
    <w:rsid w:val="1CE93C7F"/>
    <w:rsid w:val="1D014D28"/>
    <w:rsid w:val="1D3A4294"/>
    <w:rsid w:val="1E0A0014"/>
    <w:rsid w:val="1E291C36"/>
    <w:rsid w:val="1EBA4BD4"/>
    <w:rsid w:val="1FAF7D3D"/>
    <w:rsid w:val="1FBE7DD6"/>
    <w:rsid w:val="1FD73E9F"/>
    <w:rsid w:val="202E3B15"/>
    <w:rsid w:val="208F491C"/>
    <w:rsid w:val="20F52497"/>
    <w:rsid w:val="213F4A3D"/>
    <w:rsid w:val="21AD29CE"/>
    <w:rsid w:val="2276539B"/>
    <w:rsid w:val="227E5963"/>
    <w:rsid w:val="22AB260D"/>
    <w:rsid w:val="23271063"/>
    <w:rsid w:val="23A83879"/>
    <w:rsid w:val="24A829D6"/>
    <w:rsid w:val="258D22AA"/>
    <w:rsid w:val="261B6ACE"/>
    <w:rsid w:val="26261916"/>
    <w:rsid w:val="26665D0C"/>
    <w:rsid w:val="276F796E"/>
    <w:rsid w:val="27D51C06"/>
    <w:rsid w:val="27E9696D"/>
    <w:rsid w:val="29F619FE"/>
    <w:rsid w:val="2AB65A86"/>
    <w:rsid w:val="2AC431BA"/>
    <w:rsid w:val="2ACA67B7"/>
    <w:rsid w:val="2B317AAD"/>
    <w:rsid w:val="2BAC725F"/>
    <w:rsid w:val="2DE94157"/>
    <w:rsid w:val="2E1209EA"/>
    <w:rsid w:val="2E31616D"/>
    <w:rsid w:val="2E410D66"/>
    <w:rsid w:val="2E8160CC"/>
    <w:rsid w:val="2ED72005"/>
    <w:rsid w:val="30052151"/>
    <w:rsid w:val="30205172"/>
    <w:rsid w:val="30345FCB"/>
    <w:rsid w:val="31265A4B"/>
    <w:rsid w:val="33255EEC"/>
    <w:rsid w:val="336154DF"/>
    <w:rsid w:val="3469052C"/>
    <w:rsid w:val="355A7AB9"/>
    <w:rsid w:val="35F961F9"/>
    <w:rsid w:val="36FB2DBF"/>
    <w:rsid w:val="377E4979"/>
    <w:rsid w:val="378B1C34"/>
    <w:rsid w:val="37A53EB4"/>
    <w:rsid w:val="37C63FC3"/>
    <w:rsid w:val="38426403"/>
    <w:rsid w:val="389F2998"/>
    <w:rsid w:val="391957E2"/>
    <w:rsid w:val="3B2622E8"/>
    <w:rsid w:val="3B430534"/>
    <w:rsid w:val="3B500F80"/>
    <w:rsid w:val="3B6464F0"/>
    <w:rsid w:val="3CA7741B"/>
    <w:rsid w:val="3D2D4E81"/>
    <w:rsid w:val="3DD72E13"/>
    <w:rsid w:val="3E041B5F"/>
    <w:rsid w:val="3FF57BDC"/>
    <w:rsid w:val="41377661"/>
    <w:rsid w:val="417D15AA"/>
    <w:rsid w:val="42690247"/>
    <w:rsid w:val="42D336EE"/>
    <w:rsid w:val="42E9302D"/>
    <w:rsid w:val="42FC3351"/>
    <w:rsid w:val="43643AD1"/>
    <w:rsid w:val="449460D2"/>
    <w:rsid w:val="449665CB"/>
    <w:rsid w:val="45633CBD"/>
    <w:rsid w:val="45866BAF"/>
    <w:rsid w:val="46CF4355"/>
    <w:rsid w:val="46FE0989"/>
    <w:rsid w:val="4AFF01DE"/>
    <w:rsid w:val="4B0A5E7D"/>
    <w:rsid w:val="4B4B3D1C"/>
    <w:rsid w:val="4BA25E91"/>
    <w:rsid w:val="4DEB64B7"/>
    <w:rsid w:val="4E482D4B"/>
    <w:rsid w:val="4F0C22BD"/>
    <w:rsid w:val="4F4605D5"/>
    <w:rsid w:val="4F857EA8"/>
    <w:rsid w:val="5036619D"/>
    <w:rsid w:val="507B3550"/>
    <w:rsid w:val="50946B40"/>
    <w:rsid w:val="509A3835"/>
    <w:rsid w:val="51DB0CD5"/>
    <w:rsid w:val="52DB1D33"/>
    <w:rsid w:val="53160B34"/>
    <w:rsid w:val="53995C78"/>
    <w:rsid w:val="539A4CB7"/>
    <w:rsid w:val="53F73472"/>
    <w:rsid w:val="545F162E"/>
    <w:rsid w:val="54723D8C"/>
    <w:rsid w:val="559E7137"/>
    <w:rsid w:val="565F7E53"/>
    <w:rsid w:val="567B12C1"/>
    <w:rsid w:val="570E2484"/>
    <w:rsid w:val="577E65A2"/>
    <w:rsid w:val="57980CE1"/>
    <w:rsid w:val="581D747F"/>
    <w:rsid w:val="58D605F3"/>
    <w:rsid w:val="58ED0AF4"/>
    <w:rsid w:val="59C212A1"/>
    <w:rsid w:val="5A174023"/>
    <w:rsid w:val="5B2673A4"/>
    <w:rsid w:val="5BED7CC2"/>
    <w:rsid w:val="5CA060D5"/>
    <w:rsid w:val="5CCE1678"/>
    <w:rsid w:val="5CD22FFB"/>
    <w:rsid w:val="5CEA014F"/>
    <w:rsid w:val="5DB04EE1"/>
    <w:rsid w:val="5DFE21F2"/>
    <w:rsid w:val="5EB547F1"/>
    <w:rsid w:val="5F2F13FD"/>
    <w:rsid w:val="5FD67A2F"/>
    <w:rsid w:val="5FD97283"/>
    <w:rsid w:val="60213E89"/>
    <w:rsid w:val="604421B2"/>
    <w:rsid w:val="60820A16"/>
    <w:rsid w:val="60C65A9D"/>
    <w:rsid w:val="611748ED"/>
    <w:rsid w:val="615809B1"/>
    <w:rsid w:val="61F16EAB"/>
    <w:rsid w:val="62E4156E"/>
    <w:rsid w:val="631506B3"/>
    <w:rsid w:val="637F76C2"/>
    <w:rsid w:val="63E32940"/>
    <w:rsid w:val="656B47A7"/>
    <w:rsid w:val="65792C6A"/>
    <w:rsid w:val="65C77B57"/>
    <w:rsid w:val="665D6C53"/>
    <w:rsid w:val="667524FC"/>
    <w:rsid w:val="66AC271F"/>
    <w:rsid w:val="66F517FE"/>
    <w:rsid w:val="67404193"/>
    <w:rsid w:val="68464D95"/>
    <w:rsid w:val="68614BAF"/>
    <w:rsid w:val="689C429B"/>
    <w:rsid w:val="691811F2"/>
    <w:rsid w:val="69255936"/>
    <w:rsid w:val="6A993F24"/>
    <w:rsid w:val="6B2C15A0"/>
    <w:rsid w:val="6C3619F7"/>
    <w:rsid w:val="6CD15117"/>
    <w:rsid w:val="6D77600D"/>
    <w:rsid w:val="6E0E1193"/>
    <w:rsid w:val="6E115B75"/>
    <w:rsid w:val="6E4E7088"/>
    <w:rsid w:val="6E911DE5"/>
    <w:rsid w:val="6EC811E3"/>
    <w:rsid w:val="6F347456"/>
    <w:rsid w:val="714C7F78"/>
    <w:rsid w:val="718C484B"/>
    <w:rsid w:val="71E26A60"/>
    <w:rsid w:val="72034086"/>
    <w:rsid w:val="726B3B40"/>
    <w:rsid w:val="732B2807"/>
    <w:rsid w:val="734E27C5"/>
    <w:rsid w:val="74746EE1"/>
    <w:rsid w:val="751910FF"/>
    <w:rsid w:val="75445DDA"/>
    <w:rsid w:val="76684D2B"/>
    <w:rsid w:val="76DE77AA"/>
    <w:rsid w:val="78566AE6"/>
    <w:rsid w:val="7A74534B"/>
    <w:rsid w:val="7B337DD0"/>
    <w:rsid w:val="7B8F3C12"/>
    <w:rsid w:val="7D2D555A"/>
    <w:rsid w:val="7E172032"/>
    <w:rsid w:val="7E510AB1"/>
    <w:rsid w:val="7E53211A"/>
    <w:rsid w:val="7EE342B0"/>
    <w:rsid w:val="7F513225"/>
    <w:rsid w:val="7F623614"/>
    <w:rsid w:val="7F6F6013"/>
    <w:rsid w:val="7FDF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2019-12-23T00:47:00Z</dcterms:created>
  <dc:creator>asus</dc:creator>
  <cp:lastModifiedBy>伟俊</cp:lastModifiedBy>
  <dcterms:modified xsi:type="dcterms:W3CDTF">2020-04-01T03:00:01Z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