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jc w:val="center"/>
        <w:rPr>
          <w:rFonts w:hint="eastAsia" w:ascii="黑体" w:eastAsia="黑体"/>
          <w:b w:val="0"/>
          <w:bCs/>
          <w:sz w:val="36"/>
          <w:lang w:val="en-US" w:eastAsia="zh-CN"/>
        </w:rPr>
      </w:pPr>
      <w:r>
        <w:rPr>
          <w:rFonts w:hint="eastAsia" w:ascii="黑体" w:eastAsia="黑体"/>
          <w:b w:val="0"/>
          <w:bCs/>
          <w:sz w:val="36"/>
        </w:rPr>
        <w:t xml:space="preserve">板块化 </w:t>
      </w:r>
      <w:r>
        <w:rPr>
          <w:rFonts w:ascii="Times New Roman" w:eastAsia="Times New Roman"/>
          <w:b w:val="0"/>
          <w:bCs/>
          <w:sz w:val="36"/>
        </w:rPr>
        <w:t xml:space="preserve">PCK </w:t>
      </w:r>
      <w:r>
        <w:rPr>
          <w:rFonts w:hint="eastAsia" w:ascii="黑体" w:eastAsia="黑体"/>
          <w:b w:val="0"/>
          <w:bCs/>
          <w:sz w:val="36"/>
          <w:lang w:eastAsia="zh-CN"/>
        </w:rPr>
        <w:t>教学设计导引</w:t>
      </w:r>
    </w:p>
    <w:p>
      <w:pPr>
        <w:spacing w:before="38"/>
        <w:ind w:left="461"/>
        <w:rPr>
          <w:rFonts w:hint="eastAsia" w:ascii="Times New Roman" w:hAnsi="Times New Roman" w:eastAsia="黑体"/>
          <w:b w:val="0"/>
          <w:bCs/>
          <w:sz w:val="24"/>
          <w:lang w:eastAsia="zh-CN"/>
        </w:rPr>
      </w:pPr>
    </w:p>
    <w:p>
      <w:pPr>
        <w:spacing w:before="38"/>
        <w:ind w:left="461"/>
        <w:rPr>
          <w:rFonts w:hint="eastAsia" w:ascii="Times New Roman" w:hAnsi="Times New Roman" w:eastAsia="黑体"/>
          <w:b w:val="0"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50"/>
        <w:ind w:left="459"/>
        <w:jc w:val="right"/>
        <w:textAlignment w:val="auto"/>
        <w:rPr>
          <w:rFonts w:hint="default" w:ascii="黑体" w:eastAsia="黑体"/>
          <w:b w:val="0"/>
          <w:bCs/>
          <w:sz w:val="36"/>
          <w:lang w:val="en-US" w:eastAsia="zh-CN"/>
        </w:rPr>
      </w:pPr>
      <w:r>
        <w:rPr>
          <w:rFonts w:hint="eastAsia" w:ascii="Times New Roman" w:hAnsi="Times New Roman" w:eastAsia="黑体"/>
          <w:b w:val="0"/>
          <w:bCs/>
          <w:sz w:val="24"/>
          <w:lang w:val="en-US" w:eastAsia="zh-CN"/>
        </w:rPr>
        <w:t>小组</w:t>
      </w:r>
      <w:r>
        <w:rPr>
          <w:rFonts w:ascii="Times New Roman" w:hAnsi="Times New Roman" w:eastAsia="黑体"/>
          <w:b w:val="0"/>
          <w:bCs/>
          <w:sz w:val="24"/>
        </w:rPr>
        <w:t>：______</w:t>
      </w:r>
      <w:r>
        <w:rPr>
          <w:rFonts w:hint="eastAsia" w:ascii="Times New Roman" w:hAnsi="Times New Roman" w:eastAsia="黑体"/>
          <w:b w:val="0"/>
          <w:bCs/>
          <w:sz w:val="24"/>
          <w:lang w:val="en-US" w:eastAsia="zh-CN"/>
        </w:rPr>
        <w:t xml:space="preserve">_______   </w:t>
      </w:r>
      <w:r>
        <w:rPr>
          <w:rFonts w:hint="eastAsia" w:ascii="Times New Roman" w:hAnsi="Times New Roman" w:eastAsia="黑体"/>
          <w:b w:val="0"/>
          <w:bCs/>
          <w:sz w:val="24"/>
          <w:lang w:eastAsia="zh-CN"/>
        </w:rPr>
        <w:t>教学主题</w:t>
      </w:r>
      <w:r>
        <w:rPr>
          <w:rFonts w:ascii="Times New Roman" w:hAnsi="Times New Roman" w:eastAsia="黑体"/>
          <w:b w:val="0"/>
          <w:bCs/>
          <w:sz w:val="24"/>
        </w:rPr>
        <w:t>：______</w:t>
      </w:r>
      <w:r>
        <w:rPr>
          <w:rFonts w:hint="eastAsia" w:ascii="Times New Roman" w:hAnsi="Times New Roman" w:eastAsia="黑体"/>
          <w:b w:val="0"/>
          <w:bCs/>
          <w:sz w:val="24"/>
          <w:lang w:val="en-US" w:eastAsia="zh-CN"/>
        </w:rPr>
        <w:t>_______</w:t>
      </w:r>
    </w:p>
    <w:p>
      <w:pPr>
        <w:pStyle w:val="2"/>
        <w:tabs>
          <w:tab w:val="left" w:pos="4869"/>
        </w:tabs>
        <w:spacing w:before="137"/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-1"/>
          <w:sz w:val="30"/>
          <w:szCs w:val="30"/>
          <w:shd w:val="clear" w:color="FFFFFF" w:fill="D9D9D9"/>
          <w:lang w:val="en-US" w:eastAsia="zh-CN"/>
        </w:rPr>
        <w:t>A  任务分析</w:t>
      </w:r>
      <w:r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  <w:t xml:space="preserve"> </w:t>
      </w:r>
      <w:r>
        <w:rPr>
          <w:rFonts w:hint="eastAsia" w:cs="微软雅黑"/>
          <w:b w:val="0"/>
          <w:bCs/>
          <w:spacing w:val="-1"/>
          <w:lang w:val="en-US" w:eastAsia="zh-CN"/>
        </w:rPr>
        <w:t>——</w:t>
      </w:r>
      <w:r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  <w:t>A</w:t>
      </w:r>
      <w:r>
        <w:rPr>
          <w:rFonts w:hint="eastAsia" w:cs="微软雅黑"/>
          <w:b w:val="0"/>
          <w:bCs/>
          <w:spacing w:val="-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  <w:t xml:space="preserve"> </w:t>
      </w:r>
      <w:r>
        <w:rPr>
          <w:rFonts w:hint="eastAsia" w:cs="微软雅黑"/>
          <w:b w:val="0"/>
          <w:bCs/>
          <w:spacing w:val="-1"/>
          <w:lang w:val="en-US" w:eastAsia="zh-CN"/>
        </w:rPr>
        <w:t>板块功能</w:t>
      </w:r>
      <w:r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  <w:t>分析</w:t>
      </w: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4"/>
          <w:szCs w:val="24"/>
          <w:lang w:val="en-US" w:eastAsia="zh-CN"/>
        </w:rPr>
      </w:pPr>
      <w:r>
        <w:rPr>
          <w:b w:val="0"/>
          <w:bCs/>
          <w:sz w:val="28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80645</wp:posOffset>
                </wp:positionV>
                <wp:extent cx="5448935" cy="4795520"/>
                <wp:effectExtent l="9525" t="9525" r="15240" b="2095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935" cy="4795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uto"/>
                              <w:ind w:lef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楷体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（3） 根据上述教学内容对该课时(i)进行板块划分与命名，并按需列出每个板块对应的具体教学内容，(ii)论证板块之间的逻辑关系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，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(iii)着重分析每个教学板块的素养功能定位及相应的素养水平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b w:val="0"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（KoC-CTO）</w:t>
                            </w: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6pt;margin-top:6.35pt;height:377.6pt;width:429.05pt;z-index:251353088;v-text-anchor:middle;mso-width-relative:page;mso-height-relative:page;" fillcolor="#DBEEF4 [664]" filled="t" stroked="t" coordsize="21600,21600" o:gfxdata="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F09CzZAAAACgEAAA8AAAAAAAAAAQAgAAAAIgAAAGRycy9k&#10;b3ducmV2LnhtbFBLAQIUABQAAAAIAIdO4kDz4R0HcwIAAA8FAAAOAAAAAAAAAAEAIAAAACgBAABk&#10;cnMvZTJvRG9jLnhtbFBLBQYAAAAABgAGAFkBAAANBgAAAAA=&#10;">
                <v:fill on="t" focussize="0,0"/>
                <v:stroke weight="1.5pt" color="#DCE6F2 [66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uto"/>
                        <w:ind w:leftChars="0"/>
                        <w:jc w:val="both"/>
                        <w:textAlignment w:val="auto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楷体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（3） 根据上述教学内容对该课时(i)进行板块划分与命名，并按需列出每个板块对应的具体教学内容，(ii)论证板块之间的逻辑关系</w:t>
                      </w:r>
                      <w:r>
                        <w:rPr>
                          <w:rFonts w:hint="eastAsia" w:ascii="Times New Roman" w:hAnsi="Times New Roman" w:eastAsia="楷体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，</w:t>
                      </w:r>
                      <w:r>
                        <w:rPr>
                          <w:rFonts w:hint="default" w:ascii="Times New Roman" w:hAnsi="Times New Roman" w:eastAsia="楷体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(iii)着重分析每个教学板块的素养功能定位及相应的素养水平</w:t>
                      </w:r>
                      <w:r>
                        <w:rPr>
                          <w:rFonts w:hint="default" w:ascii="Times New Roman" w:hAnsi="Times New Roman" w:eastAsia="楷体" w:cs="Times New Roman"/>
                          <w:b w:val="0"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（KoC-CTO）</w:t>
                      </w: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  <w:r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  <w:t>*</w:t>
      </w:r>
      <w:r>
        <w:rPr>
          <w:rFonts w:hint="eastAsia" w:cs="微软雅黑"/>
          <w:b w:val="0"/>
          <w:bCs/>
          <w:spacing w:val="-1"/>
          <w:sz w:val="20"/>
          <w:szCs w:val="20"/>
          <w:lang w:val="en-US" w:eastAsia="zh-CN" w:bidi="zh-CN"/>
        </w:rPr>
        <w:t>板块间的逻辑关系可从内容、</w:t>
      </w:r>
      <w:bookmarkStart w:id="0" w:name="_GoBack"/>
      <w:bookmarkEnd w:id="0"/>
      <w:r>
        <w:rPr>
          <w:rFonts w:hint="eastAsia" w:cs="微软雅黑"/>
          <w:b w:val="0"/>
          <w:bCs/>
          <w:spacing w:val="-1"/>
          <w:sz w:val="20"/>
          <w:szCs w:val="20"/>
          <w:lang w:val="en-US" w:eastAsia="zh-CN" w:bidi="zh-CN"/>
        </w:rPr>
        <w:t>学科、认知、教学等逻辑论证；</w:t>
      </w:r>
      <w:r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  <w:t>可参考课标</w:t>
      </w: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附录1进行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编码</w:t>
      </w: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分析</w:t>
      </w: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  <w:r>
        <w:rPr>
          <w:b w:val="0"/>
          <w:bCs/>
          <w:sz w:val="28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169545</wp:posOffset>
                </wp:positionV>
                <wp:extent cx="5408295" cy="1617980"/>
                <wp:effectExtent l="9525" t="9525" r="17780" b="1079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295" cy="16179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生成“教学重点”：</w:t>
                            </w: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35pt;margin-top:13.35pt;height:127.4pt;width:425.85pt;z-index:251353088;v-text-anchor:middle;mso-width-relative:page;mso-height-relative:page;" fillcolor="#FDEADA [665]" filled="t" stroked="t" coordsize="21600,21600" o:gfxdata="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ofoR9kAAAAKAQAADwAAAAAAAAABACAAAAAiAAAAZHJzL2Rv&#10;d25yZXYueG1sUEsBAhQAFAAAAAgAh07iQNXYhgJyAgAADwUAAA4AAAAAAAAAAQAgAAAAKAEAAGRy&#10;cy9lMm9Eb2MueG1sUEsFBgAAAAAGAAYAWQEAAAwGAAAAAA==&#10;">
                <v:fill on="t" focussize="0,0"/>
                <v:stroke weight="1.5pt" color="#DCE6F2 [660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生成“教学重点”：</w:t>
                      </w: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autoSpaceDE w:val="0"/>
                        <w:autoSpaceDN w:val="0"/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tabs>
          <w:tab w:val="left" w:pos="4869"/>
        </w:tabs>
        <w:spacing w:before="137"/>
        <w:ind w:left="461"/>
        <w:rPr>
          <w:rFonts w:hint="eastAsia" w:cs="微软雅黑"/>
          <w:b w:val="0"/>
          <w:bCs/>
          <w:spacing w:val="-1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*可基于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(1)-(3)</w:t>
      </w: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共同提炼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生成</w:t>
      </w:r>
    </w:p>
    <w:sectPr>
      <w:footerReference r:id="rId3" w:type="default"/>
      <w:pgSz w:w="11850" w:h="16783"/>
      <w:pgMar w:top="1440" w:right="1803" w:bottom="1440" w:left="180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+OpAVAgAAFQQAAA4AAABkcnMvZTJvRG9jLnhtbK1Ty47TMBTdI/EP&#10;lvc0aWF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S+OpA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C8"/>
    <w:rsid w:val="00657AFA"/>
    <w:rsid w:val="009863C8"/>
    <w:rsid w:val="00A57B89"/>
    <w:rsid w:val="00AD17C8"/>
    <w:rsid w:val="00F638A9"/>
    <w:rsid w:val="02D84F20"/>
    <w:rsid w:val="04EA0415"/>
    <w:rsid w:val="09340A33"/>
    <w:rsid w:val="16B5693F"/>
    <w:rsid w:val="1DF90E17"/>
    <w:rsid w:val="200611CC"/>
    <w:rsid w:val="256A2D1B"/>
    <w:rsid w:val="269D2B6D"/>
    <w:rsid w:val="2E3C524F"/>
    <w:rsid w:val="2F12458F"/>
    <w:rsid w:val="35100745"/>
    <w:rsid w:val="3AE464EE"/>
    <w:rsid w:val="3E6A0B1C"/>
    <w:rsid w:val="4209414A"/>
    <w:rsid w:val="436A17E1"/>
    <w:rsid w:val="4A492E19"/>
    <w:rsid w:val="4DE148AA"/>
    <w:rsid w:val="4E117D00"/>
    <w:rsid w:val="50616256"/>
    <w:rsid w:val="516F6FA8"/>
    <w:rsid w:val="51A0622F"/>
    <w:rsid w:val="5309611D"/>
    <w:rsid w:val="53F73324"/>
    <w:rsid w:val="5866060A"/>
    <w:rsid w:val="58EA4711"/>
    <w:rsid w:val="5D205344"/>
    <w:rsid w:val="61121F76"/>
    <w:rsid w:val="630772FD"/>
    <w:rsid w:val="64DF755E"/>
    <w:rsid w:val="65D40CE0"/>
    <w:rsid w:val="671F073F"/>
    <w:rsid w:val="679C7C4A"/>
    <w:rsid w:val="69E86237"/>
    <w:rsid w:val="6CB77104"/>
    <w:rsid w:val="6FE1087C"/>
    <w:rsid w:val="6FF907F1"/>
    <w:rsid w:val="73204766"/>
    <w:rsid w:val="798D3199"/>
    <w:rsid w:val="7A4E158B"/>
    <w:rsid w:val="7D710518"/>
    <w:rsid w:val="7DD3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994</Words>
  <Characters>1164</Characters>
  <Lines>3</Lines>
  <Paragraphs>1</Paragraphs>
  <TotalTime>27</TotalTime>
  <ScaleCrop>false</ScaleCrop>
  <LinksUpToDate>false</LinksUpToDate>
  <CharactersWithSpaces>1232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2019-12-23T08:23:00Z</dcterms:created>
  <dc:creator>user</dc:creator>
  <cp:lastModifiedBy>Solomon DF</cp:lastModifiedBy>
  <dcterms:modified xsi:type="dcterms:W3CDTF">2020-03-26T09:19:47Z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2019-12-23T00:00:00Z</vt:filetime>
  </property>
  <property fmtid="{D5CDD505-2E9C-101B-9397-08002B2CF9AE}" pid="5" name="KSOProductBuildVer">
    <vt:lpwstr>2052-11.3.0.8632</vt:lpwstr>
  </property>
</Properties>
</file>