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bookmarkStart w:id="0" w:name="_GoBack"/>
      <w:r>
        <w:rPr>
          <w:rFonts w:hint="eastAsia" w:ascii="黑体" w:hAnsi="黑体" w:eastAsia="黑体" w:cs="黑体"/>
          <w:b/>
          <w:bCs/>
          <w:sz w:val="32"/>
          <w:szCs w:val="32"/>
        </w:rPr>
        <w:t>综合活动：广东民间工艺介绍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rPr>
        <w:t>广东以广府文化、</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"https://baike.so.com/doc/4434611-4642558.html"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客家文化</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"https://baike.so.com/doc/5331671-5566909.html"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潮汕文化</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"https://baike.so.com/doc/5610654-5823264.html"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雷州文化</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为主，构成岭南文化的主体。近代，广东得风气之先，成为中西文化交流的重要津梁。这里既有雅文化、精英文化(江门学派、</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"https://baike.so.com/doc/6175704-6388945.html"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岭南画派</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、岭东画派)，也有</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"https://baike.so.com/doc/1181294-1249622.html"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汉剧</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、潮汕</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"https://baike.so.com/doc/1786358-1889061.html"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工夫茶</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"https://baike.so.com/doc/7314866-7544466.html"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澄海灯谜</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"https://baike.so.com/doc/7546014-7820107.html"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7"/>
          <w:rFonts w:hint="eastAsia" w:ascii="仿宋" w:hAnsi="仿宋" w:eastAsia="仿宋" w:cs="仿宋"/>
          <w:i w:val="0"/>
          <w:caps w:val="0"/>
          <w:color w:val="auto"/>
          <w:spacing w:val="0"/>
          <w:sz w:val="24"/>
          <w:szCs w:val="24"/>
          <w:u w:val="none"/>
          <w:shd w:val="clear" w:fill="FFFFFF"/>
        </w:rPr>
        <w:t>崖口飘色</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等独具特色的民俗文化</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也孕育了丰富多彩的广东民间工艺。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随着网络技术的飞速发展，网络除了给我们提供丰富的信息外，还提</w:t>
      </w:r>
      <w:r>
        <w:rPr>
          <w:rFonts w:hint="default" w:ascii="仿宋" w:hAnsi="仿宋" w:eastAsia="仿宋" w:cs="仿宋"/>
          <w:i w:val="0"/>
          <w:caps w:val="0"/>
          <w:color w:val="auto"/>
          <w:spacing w:val="0"/>
          <w:sz w:val="24"/>
          <w:szCs w:val="24"/>
          <w:shd w:val="clear" w:fill="FFFFFF"/>
          <w:lang w:val="en-US" w:eastAsia="zh-CN"/>
        </w:rPr>
        <w:t xml:space="preserve">供了信息生成的工具和丰富的交流途径，成为我们日常生活、学习和工作的重要帮手。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本次活动我们将利用所学的网络知识和基本技能，开展基于“广东民间工艺”的</w:t>
      </w:r>
      <w:r>
        <w:rPr>
          <w:rFonts w:hint="eastAsia" w:ascii="仿宋" w:hAnsi="仿宋" w:eastAsia="仿宋" w:cs="仿宋"/>
          <w:i w:val="0"/>
          <w:caps w:val="0"/>
          <w:color w:val="auto"/>
          <w:spacing w:val="0"/>
          <w:sz w:val="24"/>
          <w:szCs w:val="24"/>
          <w:shd w:val="clear" w:fill="FFFFFF"/>
          <w:lang w:val="en-US" w:eastAsia="zh-CN"/>
        </w:rPr>
        <w:t>介绍</w:t>
      </w:r>
      <w:r>
        <w:rPr>
          <w:rFonts w:hint="default" w:ascii="仿宋" w:hAnsi="仿宋" w:eastAsia="仿宋" w:cs="仿宋"/>
          <w:i w:val="0"/>
          <w:caps w:val="0"/>
          <w:color w:val="auto"/>
          <w:spacing w:val="0"/>
          <w:sz w:val="24"/>
          <w:szCs w:val="24"/>
          <w:shd w:val="clear" w:fill="FFFFFF"/>
          <w:lang w:val="en-US" w:eastAsia="zh-CN"/>
        </w:rPr>
        <w:t>活动。通过活动希望同学们能更熟练地使用各种网络应用的技术和方法，同时也对广东的民间工艺有更多了解。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i w:val="0"/>
          <w:caps w:val="0"/>
          <w:color w:val="auto"/>
          <w:spacing w:val="0"/>
          <w:sz w:val="24"/>
          <w:szCs w:val="24"/>
          <w:shd w:val="clear" w:fill="FFFFFF"/>
          <w:lang w:val="en-US" w:eastAsia="zh-CN"/>
        </w:rPr>
      </w:pPr>
      <w:r>
        <w:rPr>
          <w:rFonts w:hint="eastAsia" w:ascii="仿宋" w:hAnsi="仿宋" w:eastAsia="仿宋" w:cs="仿宋"/>
          <w:b/>
          <w:bCs/>
          <w:i w:val="0"/>
          <w:caps w:val="0"/>
          <w:color w:val="auto"/>
          <w:spacing w:val="0"/>
          <w:sz w:val="24"/>
          <w:szCs w:val="24"/>
          <w:shd w:val="clear" w:fill="FFFFFF"/>
          <w:lang w:val="en-US" w:eastAsia="zh-CN"/>
        </w:rPr>
        <w:t>一、活动主题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传统与未来：民间工艺与文化创意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b/>
          <w:bCs/>
          <w:i w:val="0"/>
          <w:caps w:val="0"/>
          <w:color w:val="auto"/>
          <w:spacing w:val="0"/>
          <w:sz w:val="24"/>
          <w:szCs w:val="24"/>
          <w:shd w:val="clear" w:fill="FFFFFF"/>
          <w:lang w:val="en-US" w:eastAsia="zh-CN"/>
        </w:rPr>
      </w:pPr>
      <w:r>
        <w:rPr>
          <w:rFonts w:hint="eastAsia" w:ascii="仿宋" w:hAnsi="仿宋" w:eastAsia="仿宋" w:cs="仿宋"/>
          <w:b/>
          <w:bCs/>
          <w:i w:val="0"/>
          <w:caps w:val="0"/>
          <w:color w:val="auto"/>
          <w:spacing w:val="0"/>
          <w:sz w:val="24"/>
          <w:szCs w:val="24"/>
          <w:shd w:val="clear" w:fill="FFFFFF"/>
          <w:lang w:val="en-US" w:eastAsia="zh-CN"/>
        </w:rPr>
        <w:t>二、活动任务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以小组为单位（4-6人），选取其中一个广东民间工艺，</w:t>
      </w:r>
      <w:r>
        <w:rPr>
          <w:rFonts w:hint="default" w:ascii="仿宋" w:hAnsi="仿宋" w:eastAsia="仿宋" w:cs="仿宋"/>
          <w:i w:val="0"/>
          <w:caps w:val="0"/>
          <w:color w:val="auto"/>
          <w:spacing w:val="0"/>
          <w:sz w:val="24"/>
          <w:szCs w:val="24"/>
          <w:shd w:val="clear" w:fill="FFFFFF"/>
          <w:lang w:val="en-US" w:eastAsia="zh-CN"/>
        </w:rPr>
        <w:t>利用搜索引擎查找并</w:t>
      </w:r>
      <w:r>
        <w:rPr>
          <w:rFonts w:hint="eastAsia" w:ascii="仿宋" w:hAnsi="仿宋" w:eastAsia="仿宋" w:cs="仿宋"/>
          <w:i w:val="0"/>
          <w:caps w:val="0"/>
          <w:color w:val="auto"/>
          <w:spacing w:val="0"/>
          <w:sz w:val="24"/>
          <w:szCs w:val="24"/>
          <w:shd w:val="clear" w:fill="FFFFFF"/>
          <w:lang w:val="en-US" w:eastAsia="zh-CN"/>
        </w:rPr>
        <w:t>下载</w:t>
      </w:r>
      <w:r>
        <w:rPr>
          <w:rFonts w:hint="default" w:ascii="仿宋" w:hAnsi="仿宋" w:eastAsia="仿宋" w:cs="仿宋"/>
          <w:i w:val="0"/>
          <w:caps w:val="0"/>
          <w:color w:val="auto"/>
          <w:spacing w:val="0"/>
          <w:sz w:val="24"/>
          <w:szCs w:val="24"/>
          <w:shd w:val="clear" w:fill="FFFFFF"/>
          <w:lang w:val="en-US" w:eastAsia="zh-CN"/>
        </w:rPr>
        <w:t>整理有关广东民间工艺的信息，然后展示自己整理好的信息，</w:t>
      </w:r>
      <w:r>
        <w:rPr>
          <w:rFonts w:hint="eastAsia" w:ascii="仿宋" w:hAnsi="仿宋" w:eastAsia="仿宋" w:cs="仿宋"/>
          <w:i w:val="0"/>
          <w:caps w:val="0"/>
          <w:color w:val="auto"/>
          <w:spacing w:val="0"/>
          <w:sz w:val="24"/>
          <w:szCs w:val="24"/>
          <w:shd w:val="clear" w:fill="FFFFFF"/>
          <w:lang w:val="en-US" w:eastAsia="zh-CN"/>
        </w:rPr>
        <w:t>利用即时通讯等工具</w:t>
      </w:r>
      <w:r>
        <w:rPr>
          <w:rFonts w:hint="default" w:ascii="仿宋" w:hAnsi="仿宋" w:eastAsia="仿宋" w:cs="仿宋"/>
          <w:i w:val="0"/>
          <w:caps w:val="0"/>
          <w:color w:val="auto"/>
          <w:spacing w:val="0"/>
          <w:sz w:val="24"/>
          <w:szCs w:val="24"/>
          <w:shd w:val="clear" w:fill="FFFFFF"/>
          <w:lang w:val="en-US" w:eastAsia="zh-CN"/>
        </w:rPr>
        <w:t>与其他同学进行交流讨论，并不断修改和完善自己所搜集到的资料。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广东民间工艺：</w:t>
      </w:r>
      <w:r>
        <w:rPr>
          <w:rFonts w:hint="default" w:ascii="仿宋" w:hAnsi="仿宋" w:eastAsia="仿宋" w:cs="仿宋"/>
          <w:i w:val="0"/>
          <w:caps w:val="0"/>
          <w:color w:val="auto"/>
          <w:spacing w:val="0"/>
          <w:sz w:val="24"/>
          <w:szCs w:val="24"/>
          <w:shd w:val="clear" w:fill="FFFFFF"/>
          <w:lang w:val="en-US" w:eastAsia="zh-CN"/>
        </w:rPr>
        <w:t xml:space="preserve">潮州彩瓷 </w:t>
      </w:r>
      <w:r>
        <w:rPr>
          <w:rFonts w:hint="eastAsia"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t xml:space="preserve">佛山木版年画 </w:t>
      </w:r>
      <w:r>
        <w:rPr>
          <w:rFonts w:hint="eastAsia"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t xml:space="preserve">广州檀香扇 </w:t>
      </w:r>
      <w:r>
        <w:rPr>
          <w:rFonts w:hint="eastAsia"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t xml:space="preserve">肇庆端砚 </w:t>
      </w:r>
      <w:r>
        <w:rPr>
          <w:rFonts w:hint="eastAsia"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t>佛山剪纸</w:t>
      </w:r>
      <w:r>
        <w:rPr>
          <w:rFonts w:hint="eastAsia"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t>三雕一彩一绣(象牙雕、玉雕、木雕、</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"https://baike.so.com/doc/6704162-6918129.html"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广彩</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、广绣)、粤绣(广绣和</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"https://baike.so.com/doc/5791526-6004318.html"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潮绣</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"https://baike.so.com/doc/2786628-2941229.html"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增城</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"https://baike.so.com/doc/5179031-5409982.html"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榄雕</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"https://baike.so.com/doc/5789143-6001932.html"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潮州木雕</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"https://baike.so.com/doc/5377616-5613751.html"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潮州陶瓷</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"https://baike.so.com/doc/609550-645394.html"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潮州剪纸</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"https://baike.so.com/doc/1422579-1503707.html"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潮州嵌瓷</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、石湾工艺陶瓷、</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"https://baike.so.com/doc/6632021-6845824.html"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佛山剪纸</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"https://baike.so.com/doc/6641365-6855177.html"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佛山秋色</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"https://baike.so.com/doc/5789109-25439781.html"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潮州抽纱</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、枫溪</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"https://baike.so.com/doc/6930107-7152334.html"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瓷雕</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"https://baike.so.com/doc/6286500-6499982.html"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新会葵艺</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"https://baike.so.com/doc/7599561-7873656.html"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高州角雕</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、东莞烟花以及</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"https://baike.so.com/doc/283449-300112.html"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肇庆草席</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"https://baike.so.com/doc/5634389-5847014.html"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阳江风筝</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、佛山醒狮、</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"https://baike.so.com/doc/6913692-7135556.html"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岭南盆景</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、广州红木家具、</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"https://baike.so.com/doc/9120260-9453197.html"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潮州锣鼓</w:t>
      </w:r>
      <w:r>
        <w:rPr>
          <w:rFonts w:hint="default" w:ascii="仿宋" w:hAnsi="仿宋" w:eastAsia="仿宋" w:cs="仿宋"/>
          <w:i w:val="0"/>
          <w:caps w:val="0"/>
          <w:color w:val="auto"/>
          <w:spacing w:val="0"/>
          <w:sz w:val="24"/>
          <w:szCs w:val="24"/>
          <w:shd w:val="clear" w:fill="FFFFFF"/>
          <w:lang w:val="en-US" w:eastAsia="zh-CN"/>
        </w:rPr>
        <w:fldChar w:fldCharType="end"/>
      </w:r>
      <w:r>
        <w:rPr>
          <w:rFonts w:hint="default" w:ascii="仿宋" w:hAnsi="仿宋" w:eastAsia="仿宋" w:cs="仿宋"/>
          <w:i w:val="0"/>
          <w:caps w:val="0"/>
          <w:color w:val="auto"/>
          <w:spacing w:val="0"/>
          <w:sz w:val="24"/>
          <w:szCs w:val="24"/>
          <w:shd w:val="clear" w:fill="FFFFFF"/>
          <w:lang w:val="en-US" w:eastAsia="zh-CN"/>
        </w:rPr>
        <w:t>和</w:t>
      </w:r>
      <w:r>
        <w:rPr>
          <w:rFonts w:hint="default" w:ascii="仿宋" w:hAnsi="仿宋" w:eastAsia="仿宋" w:cs="仿宋"/>
          <w:i w:val="0"/>
          <w:caps w:val="0"/>
          <w:color w:val="auto"/>
          <w:spacing w:val="0"/>
          <w:sz w:val="24"/>
          <w:szCs w:val="24"/>
          <w:shd w:val="clear" w:fill="FFFFFF"/>
          <w:lang w:val="en-US" w:eastAsia="zh-CN"/>
        </w:rPr>
        <w:fldChar w:fldCharType="begin"/>
      </w:r>
      <w:r>
        <w:rPr>
          <w:rFonts w:hint="default" w:ascii="仿宋" w:hAnsi="仿宋" w:eastAsia="仿宋" w:cs="仿宋"/>
          <w:i w:val="0"/>
          <w:caps w:val="0"/>
          <w:color w:val="auto"/>
          <w:spacing w:val="0"/>
          <w:sz w:val="24"/>
          <w:szCs w:val="24"/>
          <w:shd w:val="clear" w:fill="FFFFFF"/>
          <w:lang w:val="en-US" w:eastAsia="zh-CN"/>
        </w:rPr>
        <w:instrText xml:space="preserve"> HYPERLINK "https://baike.so.com/doc/6256798-6470213.html" \t "https://baike.so.com/doc/_blank" </w:instrText>
      </w:r>
      <w:r>
        <w:rPr>
          <w:rFonts w:hint="default" w:ascii="仿宋" w:hAnsi="仿宋" w:eastAsia="仿宋" w:cs="仿宋"/>
          <w:i w:val="0"/>
          <w:caps w:val="0"/>
          <w:color w:val="auto"/>
          <w:spacing w:val="0"/>
          <w:sz w:val="24"/>
          <w:szCs w:val="24"/>
          <w:shd w:val="clear" w:fill="FFFFFF"/>
          <w:lang w:val="en-US" w:eastAsia="zh-CN"/>
        </w:rPr>
        <w:fldChar w:fldCharType="separate"/>
      </w:r>
      <w:r>
        <w:rPr>
          <w:rFonts w:hint="default" w:ascii="仿宋" w:hAnsi="仿宋" w:eastAsia="仿宋" w:cs="仿宋"/>
          <w:i w:val="0"/>
          <w:caps w:val="0"/>
          <w:color w:val="auto"/>
          <w:spacing w:val="0"/>
          <w:sz w:val="24"/>
          <w:szCs w:val="24"/>
          <w:shd w:val="clear" w:fill="FFFFFF"/>
          <w:lang w:val="en-US" w:eastAsia="zh-CN"/>
        </w:rPr>
        <w:t>麦秆贴画</w:t>
      </w:r>
      <w:r>
        <w:rPr>
          <w:rFonts w:hint="default" w:ascii="仿宋" w:hAnsi="仿宋" w:eastAsia="仿宋" w:cs="仿宋"/>
          <w:i w:val="0"/>
          <w:caps w:val="0"/>
          <w:color w:val="auto"/>
          <w:spacing w:val="0"/>
          <w:sz w:val="24"/>
          <w:szCs w:val="24"/>
          <w:shd w:val="clear" w:fill="FFFFFF"/>
          <w:lang w:val="en-US" w:eastAsia="zh-CN"/>
        </w:rPr>
        <w:fldChar w:fldCharType="end"/>
      </w:r>
      <w:r>
        <w:rPr>
          <w:rFonts w:hint="eastAsia" w:ascii="仿宋" w:hAnsi="仿宋" w:eastAsia="仿宋" w:cs="仿宋"/>
          <w:i w:val="0"/>
          <w:caps w:val="0"/>
          <w:color w:val="auto"/>
          <w:spacing w:val="0"/>
          <w:sz w:val="24"/>
          <w:szCs w:val="24"/>
          <w:shd w:val="clear" w:fill="FFFFFF"/>
          <w:lang w:val="en-US" w:eastAsia="zh-CN"/>
        </w:rPr>
        <w:t>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i w:val="0"/>
          <w:caps w:val="0"/>
          <w:color w:val="auto"/>
          <w:spacing w:val="0"/>
          <w:sz w:val="24"/>
          <w:szCs w:val="24"/>
          <w:shd w:val="clear" w:fill="FFFFFF"/>
          <w:lang w:val="en-US" w:eastAsia="zh-CN"/>
        </w:rPr>
      </w:pPr>
      <w:r>
        <w:rPr>
          <w:rFonts w:hint="eastAsia" w:ascii="仿宋" w:hAnsi="仿宋" w:eastAsia="仿宋" w:cs="仿宋"/>
          <w:b/>
          <w:bCs/>
          <w:i w:val="0"/>
          <w:caps w:val="0"/>
          <w:color w:val="auto"/>
          <w:spacing w:val="0"/>
          <w:sz w:val="24"/>
          <w:szCs w:val="24"/>
          <w:shd w:val="clear" w:fill="FFFFFF"/>
          <w:lang w:val="en-US" w:eastAsia="zh-CN"/>
        </w:rPr>
        <w:t>三</w:t>
      </w:r>
      <w:r>
        <w:rPr>
          <w:rFonts w:hint="default" w:ascii="仿宋" w:hAnsi="仿宋" w:eastAsia="仿宋" w:cs="仿宋"/>
          <w:b/>
          <w:bCs/>
          <w:i w:val="0"/>
          <w:caps w:val="0"/>
          <w:color w:val="auto"/>
          <w:spacing w:val="0"/>
          <w:sz w:val="24"/>
          <w:szCs w:val="24"/>
          <w:shd w:val="clear" w:fill="FFFFFF"/>
          <w:lang w:val="en-US" w:eastAsia="zh-CN"/>
        </w:rPr>
        <w:t xml:space="preserve">、参考资源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 xml:space="preserve">在搜集资料时，我们可以通过常用的搜索引擎进行关键字搜索，还可以从有关“广东民间工艺”的主题网站或网页中查找相关资料。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 xml:space="preserve">常用的搜索引擎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（1）百度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（2）百度百科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（3）360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搜狗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谷歌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除此之外，访问家里和社区里的老人也是一个了解我国传统工艺的好方法。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b/>
          <w:bCs/>
          <w:i w:val="0"/>
          <w:caps w:val="0"/>
          <w:color w:val="auto"/>
          <w:spacing w:val="0"/>
          <w:sz w:val="24"/>
          <w:szCs w:val="24"/>
          <w:shd w:val="clear" w:fill="FFFFFF"/>
          <w:lang w:val="en-US" w:eastAsia="zh-CN"/>
        </w:rPr>
      </w:pPr>
      <w:r>
        <w:rPr>
          <w:rFonts w:hint="eastAsia" w:ascii="仿宋" w:hAnsi="仿宋" w:eastAsia="仿宋" w:cs="仿宋"/>
          <w:b/>
          <w:bCs/>
          <w:i w:val="0"/>
          <w:caps w:val="0"/>
          <w:color w:val="auto"/>
          <w:spacing w:val="0"/>
          <w:sz w:val="24"/>
          <w:szCs w:val="24"/>
          <w:shd w:val="clear" w:fill="FFFFFF"/>
          <w:lang w:val="en-US" w:eastAsia="zh-CN"/>
        </w:rPr>
        <w:t>四、实践任务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通过多种途径，进行资料的搜索，现进行资料的整理。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资料整理表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55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民间工艺名称</w:t>
            </w:r>
          </w:p>
        </w:tc>
        <w:tc>
          <w:tcPr>
            <w:tcW w:w="6088"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产地</w:t>
            </w:r>
          </w:p>
        </w:tc>
        <w:tc>
          <w:tcPr>
            <w:tcW w:w="1217"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发展历史</w:t>
            </w:r>
          </w:p>
        </w:tc>
        <w:tc>
          <w:tcPr>
            <w:tcW w:w="1217"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特点</w:t>
            </w:r>
          </w:p>
        </w:tc>
        <w:tc>
          <w:tcPr>
            <w:tcW w:w="1217"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代表人物</w:t>
            </w:r>
          </w:p>
        </w:tc>
        <w:tc>
          <w:tcPr>
            <w:tcW w:w="1218"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地域文化</w:t>
            </w:r>
          </w:p>
        </w:tc>
        <w:tc>
          <w:tcPr>
            <w:tcW w:w="1555"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文化创意</w:t>
            </w:r>
          </w:p>
        </w:tc>
        <w:tc>
          <w:tcPr>
            <w:tcW w:w="881"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5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5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5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5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5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lang w:val="en-US" w:eastAsia="zh-CN"/>
        </w:rPr>
        <w:t>（二）小组任务分工表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小组名称</w:t>
            </w:r>
          </w:p>
        </w:tc>
        <w:tc>
          <w:tcPr>
            <w:tcW w:w="681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采访</w:t>
            </w:r>
          </w:p>
        </w:tc>
        <w:tc>
          <w:tcPr>
            <w:tcW w:w="1704"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资料搜索</w:t>
            </w:r>
          </w:p>
        </w:tc>
        <w:tc>
          <w:tcPr>
            <w:tcW w:w="1704"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资料整理</w:t>
            </w:r>
          </w:p>
        </w:tc>
        <w:tc>
          <w:tcPr>
            <w:tcW w:w="1705"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展示汇报</w:t>
            </w:r>
          </w:p>
        </w:tc>
        <w:tc>
          <w:tcPr>
            <w:tcW w:w="1705"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（三）本章所学“认识和利用网络”的运用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63"/>
        <w:gridCol w:w="1217"/>
        <w:gridCol w:w="1217"/>
        <w:gridCol w:w="1433"/>
        <w:gridCol w:w="136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搜索引擎</w:t>
            </w:r>
          </w:p>
        </w:tc>
        <w:tc>
          <w:tcPr>
            <w:tcW w:w="1163"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搜索关键词</w:t>
            </w:r>
          </w:p>
        </w:tc>
        <w:tc>
          <w:tcPr>
            <w:tcW w:w="1217"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主题网站</w:t>
            </w:r>
          </w:p>
        </w:tc>
        <w:tc>
          <w:tcPr>
            <w:tcW w:w="1217"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搜索分类资源、信息</w:t>
            </w:r>
          </w:p>
        </w:tc>
        <w:tc>
          <w:tcPr>
            <w:tcW w:w="1433"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在线交流的工具</w:t>
            </w:r>
          </w:p>
        </w:tc>
        <w:tc>
          <w:tcPr>
            <w:tcW w:w="1360"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借助的网络硬件设备</w:t>
            </w:r>
          </w:p>
        </w:tc>
        <w:tc>
          <w:tcPr>
            <w:tcW w:w="861"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1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43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3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1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43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3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1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2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43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3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8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（四）网上发表观点和交流信息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590"/>
        <w:gridCol w:w="910"/>
        <w:gridCol w:w="1579"/>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电子邮件</w:t>
            </w:r>
          </w:p>
        </w:tc>
        <w:tc>
          <w:tcPr>
            <w:tcW w:w="590"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QQ</w:t>
            </w:r>
          </w:p>
        </w:tc>
        <w:tc>
          <w:tcPr>
            <w:tcW w:w="910"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微信</w:t>
            </w:r>
          </w:p>
        </w:tc>
        <w:tc>
          <w:tcPr>
            <w:tcW w:w="1579"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知乎问答</w:t>
            </w:r>
          </w:p>
        </w:tc>
        <w:tc>
          <w:tcPr>
            <w:tcW w:w="1065" w:type="dxa"/>
            <w:shd w:val="clear" w:color="auto" w:fill="E7E6E6" w:themeFill="background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贴吧</w:t>
            </w:r>
          </w:p>
        </w:tc>
        <w:tc>
          <w:tcPr>
            <w:tcW w:w="1065"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Blog</w:t>
            </w:r>
          </w:p>
        </w:tc>
        <w:tc>
          <w:tcPr>
            <w:tcW w:w="1066"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微博</w:t>
            </w:r>
          </w:p>
        </w:tc>
        <w:tc>
          <w:tcPr>
            <w:tcW w:w="1066" w:type="dxa"/>
            <w:shd w:val="clear" w:color="auto" w:fill="E7E6E6" w:themeFill="background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5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9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57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i w:val="0"/>
          <w:caps w:val="0"/>
          <w:color w:val="auto"/>
          <w:spacing w:val="0"/>
          <w:sz w:val="24"/>
          <w:szCs w:val="24"/>
          <w:shd w:val="clear" w:fill="FFFFFF"/>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i w:val="0"/>
          <w:caps w:val="0"/>
          <w:color w:val="auto"/>
          <w:spacing w:val="0"/>
          <w:sz w:val="24"/>
          <w:szCs w:val="24"/>
          <w:shd w:val="clear" w:fill="FFFFFF"/>
          <w:lang w:val="en-US" w:eastAsia="zh-CN"/>
        </w:rPr>
      </w:pPr>
      <w:r>
        <w:rPr>
          <w:rFonts w:hint="eastAsia" w:ascii="仿宋" w:hAnsi="仿宋" w:eastAsia="仿宋" w:cs="仿宋"/>
          <w:b/>
          <w:bCs/>
          <w:i w:val="0"/>
          <w:caps w:val="0"/>
          <w:color w:val="auto"/>
          <w:spacing w:val="0"/>
          <w:sz w:val="24"/>
          <w:szCs w:val="24"/>
          <w:shd w:val="clear" w:fill="FFFFFF"/>
          <w:lang w:val="en-US" w:eastAsia="zh-CN"/>
        </w:rPr>
        <w:t>展示交流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（一）线上展示交流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请同学们自己创建一个用于同班同学展示成果、相互交流、发表意</w:t>
      </w:r>
      <w:r>
        <w:rPr>
          <w:rFonts w:hint="default" w:ascii="仿宋" w:hAnsi="仿宋" w:eastAsia="仿宋" w:cs="仿宋"/>
          <w:i w:val="0"/>
          <w:caps w:val="0"/>
          <w:color w:val="auto"/>
          <w:spacing w:val="0"/>
          <w:sz w:val="24"/>
          <w:szCs w:val="24"/>
          <w:shd w:val="clear" w:fill="FFFFFF"/>
          <w:lang w:val="en-US" w:eastAsia="zh-CN"/>
        </w:rPr>
        <w:t>见、互相讨论的班级论坛，并积极主动地创建关于广东民间工艺的话题，然后踊跃发帖，向其他同学展示自己的成果。同时，要注意浏览其他同学发表的帖子并进行回复。通过比较与其他同学搜集到的资料的异同，认识自己所搜集的资料的不足，对资料进行查漏补缺，形成对广东民间工艺全面和详细的了解和认识</w:t>
      </w:r>
      <w:r>
        <w:rPr>
          <w:rFonts w:hint="eastAsia" w:ascii="仿宋" w:hAnsi="仿宋" w:eastAsia="仿宋" w:cs="仿宋"/>
          <w:i w:val="0"/>
          <w:caps w:val="0"/>
          <w:color w:val="auto"/>
          <w:spacing w:val="0"/>
          <w:sz w:val="24"/>
          <w:szCs w:val="24"/>
          <w:shd w:val="clear" w:fill="FFFFFF"/>
          <w:lang w:val="en-US" w:eastAsia="zh-CN"/>
        </w:rPr>
        <w:t>，线上直播分享。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（二）线下展示交流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经过前期线上展示交流后，进一步完善。线下以小组为单位，以视频、VLOG、ppt图文等形式展示汇报本小组的成果。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t xml:space="preserve">经过这次活动，希望同学们掌握运用搜索引擎搜集资料和用网络论坛进行交流的方法，提高协作学习的能力，学会批判性地选择与主题相关的资料，而不是全盘吸收。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（三）活动评价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通过自评和他评的形式进行打分，评价。</w:t>
      </w:r>
    </w:p>
    <w:p>
      <w:pPr>
        <w:keepNext w:val="0"/>
        <w:keepLines w:val="0"/>
        <w:widowControl/>
        <w:suppressLineNumbers w:val="0"/>
        <w:jc w:val="center"/>
        <w:rPr>
          <w:rFonts w:hint="default" w:ascii="方正书宋_GBK" w:hAnsi="方正书宋_GBK" w:eastAsia="方正书宋_GBK" w:cs="方正书宋_GBK"/>
          <w:color w:val="231F20"/>
          <w:kern w:val="0"/>
          <w:sz w:val="24"/>
          <w:szCs w:val="24"/>
          <w:lang w:val="en-US" w:eastAsia="zh-CN" w:bidi="ar"/>
        </w:rPr>
      </w:pPr>
      <w:r>
        <w:rPr>
          <w:rFonts w:hint="eastAsia" w:ascii="方正书宋_GBK" w:hAnsi="方正书宋_GBK" w:eastAsia="方正书宋_GBK" w:cs="方正书宋_GBK"/>
          <w:color w:val="231F20"/>
          <w:kern w:val="0"/>
          <w:sz w:val="24"/>
          <w:szCs w:val="24"/>
          <w:lang w:val="en-US" w:eastAsia="zh-CN" w:bidi="ar"/>
        </w:rPr>
        <w:t>1.</w:t>
      </w:r>
      <w:r>
        <w:rPr>
          <w:rFonts w:hint="default" w:ascii="方正书宋_GBK" w:hAnsi="方正书宋_GBK" w:eastAsia="方正书宋_GBK" w:cs="方正书宋_GBK"/>
          <w:color w:val="231F20"/>
          <w:kern w:val="0"/>
          <w:sz w:val="24"/>
          <w:szCs w:val="24"/>
          <w:lang w:val="en-US" w:eastAsia="zh-CN" w:bidi="ar"/>
        </w:rPr>
        <w:t>评价参考指标表</w:t>
      </w:r>
    </w:p>
    <w:p>
      <w:pPr>
        <w:keepNext w:val="0"/>
        <w:keepLines w:val="0"/>
        <w:widowControl/>
        <w:suppressLineNumbers w:val="0"/>
        <w:jc w:val="center"/>
        <w:rPr>
          <w:rFonts w:hint="default" w:ascii="方正书宋_GBK" w:hAnsi="方正书宋_GBK" w:eastAsia="方正书宋_GBK" w:cs="方正书宋_GBK"/>
          <w:color w:val="231F20"/>
          <w:kern w:val="0"/>
          <w:sz w:val="24"/>
          <w:szCs w:val="24"/>
          <w:lang w:val="en-US" w:eastAsia="zh-CN" w:bidi="ar"/>
        </w:rPr>
      </w:pPr>
      <w:r>
        <w:rPr>
          <w:rFonts w:hint="default" w:ascii="方正书宋_GBK" w:hAnsi="方正书宋_GBK" w:eastAsia="方正书宋_GBK" w:cs="方正书宋_GBK"/>
          <w:color w:val="231F20"/>
          <w:kern w:val="0"/>
          <w:sz w:val="24"/>
          <w:szCs w:val="24"/>
          <w:lang w:val="en-US" w:eastAsia="zh-CN" w:bidi="ar"/>
        </w:rPr>
        <w:drawing>
          <wp:inline distT="0" distB="0" distL="114300" distR="114300">
            <wp:extent cx="3230880" cy="3702050"/>
            <wp:effectExtent l="0" t="0" r="7620" b="6350"/>
            <wp:docPr id="1" name="图片 1" descr="1583137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3137464(1)"/>
                    <pic:cNvPicPr>
                      <a:picLocks noChangeAspect="1"/>
                    </pic:cNvPicPr>
                  </pic:nvPicPr>
                  <pic:blipFill>
                    <a:blip r:embed="rId4"/>
                    <a:stretch>
                      <a:fillRect/>
                    </a:stretch>
                  </pic:blipFill>
                  <pic:spPr>
                    <a:xfrm>
                      <a:off x="0" y="0"/>
                      <a:ext cx="3230880" cy="3702050"/>
                    </a:xfrm>
                    <a:prstGeom prst="rect">
                      <a:avLst/>
                    </a:prstGeom>
                  </pic:spPr>
                </pic:pic>
              </a:graphicData>
            </a:graphic>
          </wp:inline>
        </w:drawing>
      </w:r>
    </w:p>
    <w:p>
      <w:pPr>
        <w:keepNext w:val="0"/>
        <w:keepLines w:val="0"/>
        <w:widowControl/>
        <w:suppressLineNumbers w:val="0"/>
        <w:jc w:val="center"/>
        <w:rPr>
          <w:rFonts w:hint="eastAsia" w:ascii="方正书宋_GBK" w:hAnsi="方正书宋_GBK" w:eastAsia="方正书宋_GBK" w:cs="方正书宋_GBK"/>
          <w:color w:val="231F20"/>
          <w:kern w:val="0"/>
          <w:sz w:val="24"/>
          <w:szCs w:val="24"/>
          <w:lang w:val="en-US" w:eastAsia="zh-CN" w:bidi="ar"/>
        </w:rPr>
      </w:pPr>
      <w:r>
        <w:rPr>
          <w:rFonts w:hint="eastAsia" w:ascii="方正书宋_GBK" w:hAnsi="方正书宋_GBK" w:eastAsia="方正书宋_GBK" w:cs="方正书宋_GBK"/>
          <w:color w:val="231F20"/>
          <w:kern w:val="0"/>
          <w:sz w:val="24"/>
          <w:szCs w:val="24"/>
          <w:lang w:val="en-US" w:eastAsia="zh-CN" w:bidi="ar"/>
        </w:rPr>
        <w:t>2.活动总结表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drawing>
          <wp:inline distT="0" distB="0" distL="114300" distR="114300">
            <wp:extent cx="4516755" cy="2208530"/>
            <wp:effectExtent l="0" t="0" r="4445" b="1270"/>
            <wp:docPr id="2" name="图片 2" descr="1583137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3137545(1)"/>
                    <pic:cNvPicPr>
                      <a:picLocks noChangeAspect="1"/>
                    </pic:cNvPicPr>
                  </pic:nvPicPr>
                  <pic:blipFill>
                    <a:blip r:embed="rId5"/>
                    <a:stretch>
                      <a:fillRect/>
                    </a:stretch>
                  </pic:blipFill>
                  <pic:spPr>
                    <a:xfrm>
                      <a:off x="0" y="0"/>
                      <a:ext cx="4516755" cy="2208530"/>
                    </a:xfrm>
                    <a:prstGeom prst="rect">
                      <a:avLst/>
                    </a:prstGeom>
                  </pic:spPr>
                </pic:pic>
              </a:graphicData>
            </a:graphic>
          </wp:inline>
        </w:drawing>
      </w:r>
    </w:p>
    <w:p>
      <w:pPr>
        <w:keepNext w:val="0"/>
        <w:keepLines w:val="0"/>
        <w:widowControl/>
        <w:suppressLineNumbers w:val="0"/>
        <w:jc w:val="center"/>
        <w:rPr>
          <w:rFonts w:hint="eastAsia" w:ascii="方正书宋_GBK" w:hAnsi="方正书宋_GBK" w:eastAsia="方正书宋_GBK" w:cs="方正书宋_GBK"/>
          <w:color w:val="231F20"/>
          <w:kern w:val="0"/>
          <w:sz w:val="24"/>
          <w:szCs w:val="24"/>
          <w:lang w:val="en-US" w:eastAsia="zh-CN" w:bidi="ar"/>
        </w:rPr>
      </w:pPr>
      <w:r>
        <w:rPr>
          <w:rFonts w:hint="eastAsia" w:ascii="方正书宋_GBK" w:hAnsi="方正书宋_GBK" w:eastAsia="方正书宋_GBK" w:cs="方正书宋_GBK"/>
          <w:color w:val="231F20"/>
          <w:kern w:val="0"/>
          <w:sz w:val="24"/>
          <w:szCs w:val="24"/>
          <w:lang w:val="en-US" w:eastAsia="zh-CN" w:bidi="ar"/>
        </w:rPr>
        <w:t>3.学习评价表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caps w:val="0"/>
          <w:color w:val="auto"/>
          <w:spacing w:val="0"/>
          <w:sz w:val="24"/>
          <w:szCs w:val="24"/>
          <w:shd w:val="clear" w:fill="FFFFFF"/>
          <w:lang w:val="en-US" w:eastAsia="zh-CN"/>
        </w:rPr>
      </w:pPr>
      <w:r>
        <w:rPr>
          <w:rFonts w:hint="default" w:ascii="仿宋" w:hAnsi="仿宋" w:eastAsia="仿宋" w:cs="仿宋"/>
          <w:i w:val="0"/>
          <w:caps w:val="0"/>
          <w:color w:val="auto"/>
          <w:spacing w:val="0"/>
          <w:sz w:val="24"/>
          <w:szCs w:val="24"/>
          <w:shd w:val="clear" w:fill="FFFFFF"/>
          <w:lang w:val="en-US" w:eastAsia="zh-CN"/>
        </w:rPr>
        <w:drawing>
          <wp:inline distT="0" distB="0" distL="114300" distR="114300">
            <wp:extent cx="4413250" cy="2432050"/>
            <wp:effectExtent l="0" t="0" r="6350" b="6350"/>
            <wp:docPr id="3" name="图片 3" descr="1583137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3137758(1)"/>
                    <pic:cNvPicPr>
                      <a:picLocks noChangeAspect="1"/>
                    </pic:cNvPicPr>
                  </pic:nvPicPr>
                  <pic:blipFill>
                    <a:blip r:embed="rId6"/>
                    <a:stretch>
                      <a:fillRect/>
                    </a:stretch>
                  </pic:blipFill>
                  <pic:spPr>
                    <a:xfrm>
                      <a:off x="0" y="0"/>
                      <a:ext cx="4413250" cy="2432050"/>
                    </a:xfrm>
                    <a:prstGeom prst="rect">
                      <a:avLst/>
                    </a:prstGeom>
                  </pic:spPr>
                </pic:pic>
              </a:graphicData>
            </a:graphic>
          </wp:inline>
        </w:drawing>
      </w: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BB4A8"/>
    <w:multiLevelType w:val="singleLevel"/>
    <w:tmpl w:val="A48BB4A8"/>
    <w:lvl w:ilvl="0" w:tentative="0">
      <w:start w:val="4"/>
      <w:numFmt w:val="decimal"/>
      <w:suff w:val="nothing"/>
      <w:lvlText w:val="（%1）"/>
      <w:lvlJc w:val="left"/>
    </w:lvl>
  </w:abstractNum>
  <w:abstractNum w:abstractNumId="1">
    <w:nsid w:val="0C84A388"/>
    <w:multiLevelType w:val="singleLevel"/>
    <w:tmpl w:val="0C84A388"/>
    <w:lvl w:ilvl="0" w:tentative="0">
      <w:start w:val="1"/>
      <w:numFmt w:val="chineseCounting"/>
      <w:suff w:val="nothing"/>
      <w:lvlText w:val="（%1）"/>
      <w:lvlJc w:val="left"/>
      <w:rPr>
        <w:rFonts w:hint="eastAsia"/>
      </w:rPr>
    </w:lvl>
  </w:abstractNum>
  <w:abstractNum w:abstractNumId="2">
    <w:nsid w:val="17AD7B33"/>
    <w:multiLevelType w:val="singleLevel"/>
    <w:tmpl w:val="17AD7B33"/>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30487"/>
    <w:rsid w:val="285358A4"/>
    <w:rsid w:val="2E29064F"/>
    <w:rsid w:val="314E0AE1"/>
    <w:rsid w:val="34BB656C"/>
    <w:rsid w:val="37512DF7"/>
    <w:rsid w:val="3CB40506"/>
    <w:rsid w:val="4F4E49E2"/>
    <w:rsid w:val="55E26007"/>
    <w:rsid w:val="5E526778"/>
    <w:rsid w:val="606E0F7D"/>
    <w:rsid w:val="64EB019A"/>
    <w:rsid w:val="76F1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4C4C4C"/>
      <w:u w:val="none"/>
    </w:rPr>
  </w:style>
  <w:style w:type="character" w:styleId="7">
    <w:name w:val="Hyperlink"/>
    <w:basedOn w:val="4"/>
    <w:uiPriority w:val="0"/>
    <w:rPr>
      <w:rFonts w:hint="eastAsia" w:ascii="宋体" w:hAnsi="宋体" w:eastAsia="宋体" w:cs="宋体"/>
      <w:color w:val="4C4C4C"/>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2020-03-02T07:21:00Z</dcterms:created>
  <dc:creator>jhajm</dc:creator>
  <cp:lastModifiedBy>小马达</cp:lastModifiedBy>
  <dcterms:modified xsi:type="dcterms:W3CDTF">2020-03-05T03:20:34Z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