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Chapter 4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18. What does characterization mean in a conflict-of-law situation?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19. What is your attitude toward renvoi? </w:t>
      </w:r>
    </w:p>
    <w:p>
      <w:pPr>
        <w:spacing w:line="460" w:lineRule="exact"/>
        <w:ind w:firstLine="720" w:firstLineChars="3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0．</w:t>
      </w:r>
      <w:r>
        <w:rPr>
          <w:rFonts w:ascii="宋体" w:hAnsi="宋体"/>
          <w:sz w:val="24"/>
        </w:rPr>
        <w:t>What are the elements of an incidental question?</w:t>
      </w:r>
    </w:p>
    <w:p>
      <w:pPr>
        <w:spacing w:line="460" w:lineRule="exac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21．</w:t>
      </w:r>
      <w:r>
        <w:rPr>
          <w:rFonts w:ascii="宋体" w:hAnsi="宋体"/>
          <w:sz w:val="24"/>
        </w:rPr>
        <w:t>When shall the application of provisions of foreign law be precluded?</w:t>
      </w:r>
    </w:p>
    <w:p>
      <w:r>
        <w:rPr>
          <w:rFonts w:hint="eastAsia" w:ascii="宋体" w:hAnsi="宋体"/>
          <w:sz w:val="24"/>
        </w:rPr>
        <w:t xml:space="preserve">22.  How to establish the content of the applicable foreign law?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30379"/>
    <w:rsid w:val="0313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2018-12-05T14:53:00Z</dcterms:created>
  <dc:creator>既相依</dc:creator>
  <cp:lastModifiedBy>既相依</cp:lastModifiedBy>
  <dcterms:modified xsi:type="dcterms:W3CDTF">2018-12-05T14:53:33Z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