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Chapter </w:t>
      </w:r>
      <w:r>
        <w:rPr>
          <w:rFonts w:hint="eastAsia" w:ascii="宋体" w:hAnsi="宋体"/>
          <w:sz w:val="24"/>
          <w:lang w:val="en-US" w:eastAsia="zh-CN"/>
        </w:rPr>
        <w:t>2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3.  What is </w:t>
      </w:r>
      <w:r>
        <w:rPr>
          <w:rFonts w:ascii="宋体" w:hAnsi="宋体"/>
          <w:sz w:val="24"/>
        </w:rPr>
        <w:t>Bartolus’s method of resolving conflict</w:t>
      </w:r>
      <w:r>
        <w:rPr>
          <w:rFonts w:hint="eastAsia" w:ascii="宋体" w:hAnsi="宋体"/>
          <w:sz w:val="24"/>
        </w:rPr>
        <w:t xml:space="preserve"> of laws?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4.  What are the </w:t>
      </w:r>
      <w:r>
        <w:rPr>
          <w:rFonts w:ascii="宋体" w:hAnsi="宋体"/>
          <w:sz w:val="24"/>
        </w:rPr>
        <w:t xml:space="preserve">three axioms </w:t>
      </w:r>
      <w:r>
        <w:rPr>
          <w:rFonts w:hint="eastAsia" w:ascii="宋体" w:hAnsi="宋体"/>
          <w:sz w:val="24"/>
        </w:rPr>
        <w:t xml:space="preserve">of </w:t>
      </w:r>
      <w:r>
        <w:rPr>
          <w:rFonts w:ascii="宋体" w:hAnsi="宋体"/>
          <w:sz w:val="24"/>
        </w:rPr>
        <w:t>Ulricus Huber</w:t>
      </w:r>
      <w:r>
        <w:rPr>
          <w:rFonts w:hint="eastAsia" w:ascii="宋体" w:hAnsi="宋体"/>
          <w:sz w:val="24"/>
        </w:rPr>
        <w:t>?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5.  </w:t>
      </w:r>
      <w:r>
        <w:rPr>
          <w:rFonts w:ascii="宋体" w:hAnsi="宋体"/>
          <w:sz w:val="24"/>
        </w:rPr>
        <w:t>What is Savigny</w:t>
      </w:r>
      <w:r>
        <w:rPr>
          <w:rFonts w:hint="eastAsia" w:ascii="宋体" w:hAnsi="宋体"/>
          <w:sz w:val="24"/>
        </w:rPr>
        <w:t>’</w:t>
      </w:r>
      <w:r>
        <w:rPr>
          <w:rFonts w:ascii="宋体" w:hAnsi="宋体"/>
          <w:sz w:val="24"/>
        </w:rPr>
        <w:t>s contribution to private international law?</w:t>
      </w:r>
    </w:p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6.  What are the main points of </w:t>
      </w:r>
      <w:r>
        <w:rPr>
          <w:rFonts w:ascii="宋体" w:hAnsi="宋体"/>
          <w:sz w:val="24"/>
        </w:rPr>
        <w:t>Macini’s Doctrine</w:t>
      </w:r>
      <w:r>
        <w:rPr>
          <w:rFonts w:hint="eastAsia" w:ascii="宋体" w:hAnsi="宋体"/>
          <w:sz w:val="24"/>
        </w:rPr>
        <w:t>?</w:t>
      </w:r>
    </w:p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  Please comment on Story</w:t>
      </w:r>
      <w:r>
        <w:rPr>
          <w:rFonts w:ascii="宋体" w:hAnsi="宋体"/>
          <w:sz w:val="24"/>
        </w:rPr>
        <w:t>’</w:t>
      </w:r>
      <w:r>
        <w:rPr>
          <w:rFonts w:hint="eastAsia" w:ascii="宋体" w:hAnsi="宋体"/>
          <w:sz w:val="24"/>
        </w:rPr>
        <w:t xml:space="preserve">s Comity Doctrine. </w:t>
      </w:r>
    </w:p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8.  Please comment on </w:t>
      </w:r>
      <w:r>
        <w:rPr>
          <w:rFonts w:ascii="宋体" w:hAnsi="宋体"/>
          <w:sz w:val="24"/>
        </w:rPr>
        <w:t>Beale’</w:t>
      </w:r>
      <w:r>
        <w:rPr>
          <w:rFonts w:hint="eastAsia" w:ascii="宋体" w:hAnsi="宋体"/>
          <w:sz w:val="24"/>
        </w:rPr>
        <w:t xml:space="preserve">s Doctrine of </w:t>
      </w:r>
      <w:r>
        <w:rPr>
          <w:rFonts w:ascii="宋体" w:hAnsi="宋体"/>
          <w:sz w:val="24"/>
        </w:rPr>
        <w:t>Vested Rights</w:t>
      </w:r>
    </w:p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9.  Please comment on the theory of </w:t>
      </w:r>
      <w:r>
        <w:rPr>
          <w:rFonts w:ascii="宋体" w:hAnsi="宋体"/>
          <w:sz w:val="24"/>
        </w:rPr>
        <w:t>Walter Wheeler Cook</w:t>
      </w:r>
      <w:r>
        <w:rPr>
          <w:rFonts w:hint="eastAsia" w:ascii="宋体" w:hAnsi="宋体"/>
          <w:sz w:val="24"/>
        </w:rPr>
        <w:t>?</w:t>
      </w:r>
    </w:p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10. Please comment on the theory of </w:t>
      </w:r>
      <w:r>
        <w:rPr>
          <w:rFonts w:ascii="宋体" w:hAnsi="宋体"/>
          <w:sz w:val="24"/>
        </w:rPr>
        <w:t>David F. Cavers</w:t>
      </w:r>
      <w:r>
        <w:rPr>
          <w:rFonts w:hint="eastAsia" w:ascii="宋体" w:hAnsi="宋体"/>
          <w:sz w:val="24"/>
        </w:rPr>
        <w:t xml:space="preserve">? </w:t>
      </w:r>
    </w:p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11. Please comment on </w:t>
      </w:r>
      <w:r>
        <w:rPr>
          <w:rFonts w:ascii="宋体" w:hAnsi="宋体"/>
          <w:sz w:val="24"/>
        </w:rPr>
        <w:t>“</w:t>
      </w:r>
      <w:r>
        <w:rPr>
          <w:rFonts w:hint="eastAsia" w:ascii="宋体" w:hAnsi="宋体"/>
          <w:sz w:val="24"/>
        </w:rPr>
        <w:t>governmental interest analysis</w:t>
      </w:r>
      <w:r>
        <w:rPr>
          <w:rFonts w:ascii="宋体" w:hAnsi="宋体"/>
          <w:sz w:val="24"/>
        </w:rPr>
        <w:t>”</w:t>
      </w:r>
      <w:r>
        <w:rPr>
          <w:rFonts w:hint="eastAsia" w:ascii="宋体" w:hAnsi="宋体"/>
          <w:sz w:val="24"/>
        </w:rPr>
        <w:t>?</w:t>
      </w:r>
    </w:p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12. Please comment on </w:t>
      </w:r>
      <w:r>
        <w:rPr>
          <w:rFonts w:ascii="宋体" w:hAnsi="宋体"/>
          <w:sz w:val="24"/>
        </w:rPr>
        <w:t>the “Better-Law” Approach</w:t>
      </w:r>
      <w:r>
        <w:rPr>
          <w:rFonts w:hint="eastAsia" w:ascii="宋体" w:hAnsi="宋体"/>
          <w:sz w:val="24"/>
        </w:rPr>
        <w:t>?</w:t>
      </w:r>
    </w:p>
    <w:p>
      <w:pPr>
        <w:spacing w:line="460" w:lineRule="exact"/>
        <w:ind w:firstLine="600" w:firstLine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13. What is your opinion of the doctrine of </w:t>
      </w:r>
      <w:r>
        <w:rPr>
          <w:rFonts w:ascii="宋体" w:hAnsi="宋体"/>
          <w:sz w:val="24"/>
        </w:rPr>
        <w:t xml:space="preserve">the “most-significant-relationship” </w:t>
      </w:r>
      <w:r>
        <w:rPr>
          <w:rFonts w:hint="eastAsia" w:ascii="宋体" w:hAnsi="宋体"/>
          <w:sz w:val="24"/>
        </w:rPr>
        <w:t>enshrined in t</w:t>
      </w:r>
      <w:r>
        <w:rPr>
          <w:rFonts w:ascii="宋体" w:hAnsi="宋体"/>
          <w:sz w:val="24"/>
        </w:rPr>
        <w:t>he Restatement Second</w:t>
      </w:r>
      <w:r>
        <w:rPr>
          <w:rFonts w:hint="eastAsia" w:ascii="宋体" w:hAnsi="宋体"/>
          <w:sz w:val="24"/>
        </w:rPr>
        <w:t xml:space="preserve">.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21AF9"/>
    <w:rsid w:val="0372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2018-12-05T14:51:00Z</dcterms:created>
  <dc:creator>既相依</dc:creator>
  <cp:lastModifiedBy>既相依</cp:lastModifiedBy>
  <dcterms:modified xsi:type="dcterms:W3CDTF">2018-12-05T14:52:08Z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