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第二章</w:t>
      </w:r>
    </w:p>
    <w:p>
      <w:pPr>
        <w:ind w:firstLine="420" w:firstLineChars="200"/>
      </w:pPr>
      <w:r>
        <w:t xml:space="preserve">choice of law doctrine </w:t>
      </w:r>
      <w:r>
        <w:rPr>
          <w:rFonts w:hint="eastAsia"/>
        </w:rPr>
        <w:t>有关法律选择的学说</w:t>
      </w:r>
    </w:p>
    <w:p>
      <w:r>
        <w:t></w:t>
      </w:r>
      <w:r>
        <w:tab/>
      </w:r>
      <w:r>
        <w:t xml:space="preserve">the Digest, Justininan’s Code </w:t>
      </w:r>
      <w:r>
        <w:rPr>
          <w:rFonts w:hint="eastAsia"/>
        </w:rPr>
        <w:t>民法大全，查士丁尼法典</w:t>
      </w:r>
    </w:p>
    <w:p>
      <w:r>
        <w:t></w:t>
      </w:r>
      <w:r>
        <w:tab/>
      </w:r>
      <w:r>
        <w:t xml:space="preserve">Glossator, Commentator </w:t>
      </w:r>
      <w:r>
        <w:rPr>
          <w:rFonts w:hint="eastAsia"/>
        </w:rPr>
        <w:t>注释法学派（前期，后期）</w:t>
      </w:r>
    </w:p>
    <w:p>
      <w:r>
        <w:t></w:t>
      </w:r>
      <w:r>
        <w:tab/>
      </w:r>
      <w:r>
        <w:t xml:space="preserve">city-state </w:t>
      </w:r>
      <w:r>
        <w:rPr>
          <w:rFonts w:hint="eastAsia"/>
        </w:rPr>
        <w:t>城市国家，城邦</w:t>
      </w:r>
    </w:p>
    <w:p>
      <w:r>
        <w:t></w:t>
      </w:r>
      <w:r>
        <w:tab/>
      </w:r>
      <w:r>
        <w:t xml:space="preserve">Bartolus of Sassoferrato, doctrine of statutists </w:t>
      </w:r>
      <w:r>
        <w:rPr>
          <w:rFonts w:hint="eastAsia"/>
        </w:rPr>
        <w:t>巴托鲁斯，法则区别说</w:t>
      </w:r>
    </w:p>
    <w:p>
      <w:r>
        <w:t></w:t>
      </w:r>
      <w:r>
        <w:tab/>
      </w:r>
      <w:r>
        <w:t xml:space="preserve">real statutes </w:t>
      </w:r>
      <w:r>
        <w:rPr>
          <w:rFonts w:hint="eastAsia"/>
        </w:rPr>
        <w:t>物法</w:t>
      </w:r>
    </w:p>
    <w:p>
      <w:r>
        <w:t></w:t>
      </w:r>
      <w:r>
        <w:tab/>
      </w:r>
      <w:r>
        <w:t xml:space="preserve">personal statutes </w:t>
      </w:r>
      <w:r>
        <w:rPr>
          <w:rFonts w:hint="eastAsia"/>
        </w:rPr>
        <w:t>人法</w:t>
      </w:r>
    </w:p>
    <w:p>
      <w:r>
        <w:t></w:t>
      </w:r>
      <w:r>
        <w:tab/>
      </w:r>
      <w:r>
        <w:t xml:space="preserve">Charles Dumoulin, A Commentary on the Customary Law of Paris </w:t>
      </w:r>
      <w:r>
        <w:rPr>
          <w:rFonts w:hint="eastAsia"/>
        </w:rPr>
        <w:t>杜摩兰，《巴黎习惯法评述》</w:t>
      </w:r>
    </w:p>
    <w:p>
      <w:r>
        <w:t></w:t>
      </w:r>
      <w:r>
        <w:tab/>
      </w:r>
      <w:r>
        <w:t xml:space="preserve">Bertrand D'Argentré </w:t>
      </w:r>
      <w:r>
        <w:rPr>
          <w:rFonts w:hint="eastAsia"/>
        </w:rPr>
        <w:t>达让特莱</w:t>
      </w:r>
    </w:p>
    <w:p>
      <w:r>
        <w:t></w:t>
      </w:r>
      <w:r>
        <w:tab/>
      </w:r>
      <w:r>
        <w:t xml:space="preserve">Jean Bodin </w:t>
      </w:r>
      <w:r>
        <w:rPr>
          <w:rFonts w:hint="eastAsia"/>
        </w:rPr>
        <w:t>博丹</w:t>
      </w:r>
    </w:p>
    <w:p>
      <w:r>
        <w:t></w:t>
      </w:r>
      <w:r>
        <w:tab/>
      </w:r>
      <w:r>
        <w:t xml:space="preserve">Ulricus Huber, doctrine of comity </w:t>
      </w:r>
      <w:r>
        <w:rPr>
          <w:rFonts w:hint="eastAsia"/>
        </w:rPr>
        <w:t>胡伯，礼让说</w:t>
      </w:r>
    </w:p>
    <w:p>
      <w:r>
        <w:t></w:t>
      </w:r>
      <w:r>
        <w:tab/>
      </w:r>
      <w:r>
        <w:t xml:space="preserve">Carl Georg von Wächter, primacy of lex fori </w:t>
      </w:r>
      <w:r>
        <w:rPr>
          <w:rFonts w:hint="eastAsia"/>
        </w:rPr>
        <w:t>华赫特，法院地法优先说</w:t>
      </w:r>
    </w:p>
    <w:p>
      <w:r>
        <w:t></w:t>
      </w:r>
      <w:r>
        <w:tab/>
      </w:r>
      <w:r>
        <w:t xml:space="preserve">Friedrich Carl von Savigny, doctrine of seat of legal relationships </w:t>
      </w:r>
      <w:r>
        <w:rPr>
          <w:rFonts w:hint="eastAsia"/>
        </w:rPr>
        <w:t>萨维尼，法律关系本座说</w:t>
      </w:r>
    </w:p>
    <w:p>
      <w:r>
        <w:t></w:t>
      </w:r>
      <w:r>
        <w:tab/>
      </w:r>
      <w:r>
        <w:t xml:space="preserve">the System of Modern Roman Law </w:t>
      </w:r>
      <w:r>
        <w:rPr>
          <w:rFonts w:hint="eastAsia"/>
        </w:rPr>
        <w:t>《现代罗马法体系》</w:t>
      </w:r>
    </w:p>
    <w:p>
      <w:r>
        <w:t></w:t>
      </w:r>
      <w:r>
        <w:tab/>
      </w:r>
      <w:r>
        <w:t xml:space="preserve">A Treatise on the Conflict of Laws and the Limits of Their Operation in Respect of Place and Time </w:t>
      </w:r>
      <w:r>
        <w:rPr>
          <w:rFonts w:hint="eastAsia"/>
        </w:rPr>
        <w:t>《法律冲突与法律规则的地域和时间范围》</w:t>
      </w:r>
      <w:r>
        <w:t xml:space="preserve"> </w:t>
      </w:r>
    </w:p>
    <w:p>
      <w:r>
        <w:t></w:t>
      </w:r>
      <w:r>
        <w:tab/>
      </w:r>
      <w:r>
        <w:t>connecting factors</w:t>
      </w:r>
      <w:r>
        <w:rPr>
          <w:rFonts w:hint="eastAsia"/>
        </w:rPr>
        <w:t>连结点</w:t>
      </w:r>
    </w:p>
    <w:p>
      <w:r>
        <w:t></w:t>
      </w:r>
      <w:r>
        <w:tab/>
      </w:r>
      <w:r>
        <w:t xml:space="preserve">bilateral choice-of-law rules </w:t>
      </w:r>
      <w:r>
        <w:rPr>
          <w:rFonts w:hint="eastAsia"/>
        </w:rPr>
        <w:t>双边冲突规则</w:t>
      </w:r>
      <w:r>
        <w:t>;</w:t>
      </w:r>
      <w:r>
        <w:rPr>
          <w:rFonts w:hint="eastAsia"/>
        </w:rPr>
        <w:t>双边法律选择规则</w:t>
      </w:r>
    </w:p>
    <w:p>
      <w:r>
        <w:t></w:t>
      </w:r>
      <w:r>
        <w:tab/>
      </w:r>
      <w:r>
        <w:t>Pasquale Stanislao Mancini</w:t>
      </w:r>
      <w:r>
        <w:rPr>
          <w:rFonts w:hint="eastAsia"/>
        </w:rPr>
        <w:t>，</w:t>
      </w:r>
      <w:r>
        <w:t xml:space="preserve">Nationality as the Basis of the Law of Nations </w:t>
      </w:r>
      <w:r>
        <w:rPr>
          <w:rFonts w:hint="eastAsia"/>
        </w:rPr>
        <w:t>孟西尼，《国籍乃国际法的基础》</w:t>
      </w:r>
    </w:p>
    <w:p>
      <w:r>
        <w:t></w:t>
      </w:r>
      <w:r>
        <w:tab/>
      </w:r>
      <w:r>
        <w:t xml:space="preserve">Albert Venn Dicey, doctrine of “vested rights” </w:t>
      </w:r>
      <w:r>
        <w:rPr>
          <w:rFonts w:hint="eastAsia"/>
        </w:rPr>
        <w:t>戴赛，既得权说</w:t>
      </w:r>
    </w:p>
    <w:p>
      <w:r>
        <w:t></w:t>
      </w:r>
      <w:r>
        <w:tab/>
      </w:r>
      <w:r>
        <w:t xml:space="preserve">Samueal Livermore </w:t>
      </w:r>
      <w:r>
        <w:rPr>
          <w:rFonts w:hint="eastAsia"/>
        </w:rPr>
        <w:t>利夫摩尔</w:t>
      </w:r>
    </w:p>
    <w:p>
      <w:r>
        <w:t></w:t>
      </w:r>
      <w:r>
        <w:tab/>
      </w:r>
      <w:r>
        <w:t xml:space="preserve">Joseph Story, Commentaries on the Conflict of Laws </w:t>
      </w:r>
      <w:r>
        <w:rPr>
          <w:rFonts w:hint="eastAsia"/>
        </w:rPr>
        <w:t>斯托雷，《法律冲突法评论》</w:t>
      </w:r>
    </w:p>
    <w:p>
      <w:r>
        <w:t></w:t>
      </w:r>
      <w:r>
        <w:tab/>
      </w:r>
      <w:r>
        <w:t>Joseph H. Beale,</w:t>
      </w:r>
      <w:r>
        <w:rPr>
          <w:u w:val="single"/>
        </w:rPr>
        <w:t xml:space="preserve"> the Restatement of the Law, Conflict of Laws</w:t>
      </w:r>
      <w:r>
        <w:t xml:space="preserve"> </w:t>
      </w:r>
      <w:r>
        <w:rPr>
          <w:rFonts w:hint="eastAsia"/>
        </w:rPr>
        <w:t>比尔，《冲突法重述》</w:t>
      </w:r>
    </w:p>
    <w:p>
      <w:r>
        <w:t></w:t>
      </w:r>
      <w:r>
        <w:tab/>
      </w:r>
      <w:r>
        <w:t xml:space="preserve">the American Law Institute </w:t>
      </w:r>
      <w:r>
        <w:rPr>
          <w:rFonts w:hint="eastAsia"/>
        </w:rPr>
        <w:t>美国法学会</w:t>
      </w:r>
    </w:p>
    <w:p>
      <w:r>
        <w:t></w:t>
      </w:r>
      <w:r>
        <w:tab/>
      </w:r>
      <w:r>
        <w:t xml:space="preserve">conflicts “revolution” </w:t>
      </w:r>
      <w:r>
        <w:rPr>
          <w:rFonts w:hint="eastAsia"/>
        </w:rPr>
        <w:t>冲突法革命</w:t>
      </w:r>
    </w:p>
    <w:p>
      <w:r>
        <w:t></w:t>
      </w:r>
      <w:r>
        <w:tab/>
      </w:r>
      <w:r>
        <w:t xml:space="preserve">Walter Wheeler Cook, local law theory </w:t>
      </w:r>
      <w:r>
        <w:rPr>
          <w:rFonts w:hint="eastAsia"/>
        </w:rPr>
        <w:t>库克，本地法说</w:t>
      </w:r>
    </w:p>
    <w:p>
      <w:r>
        <w:t></w:t>
      </w:r>
      <w:r>
        <w:tab/>
      </w:r>
      <w:r>
        <w:t xml:space="preserve">David F. Cavers, Principles of Preference </w:t>
      </w:r>
      <w:r>
        <w:rPr>
          <w:rFonts w:hint="eastAsia"/>
        </w:rPr>
        <w:t>卡弗斯，优先选择原则</w:t>
      </w:r>
    </w:p>
    <w:p>
      <w:r>
        <w:t></w:t>
      </w:r>
      <w:r>
        <w:tab/>
      </w:r>
      <w:r>
        <w:t xml:space="preserve">Methodology </w:t>
      </w:r>
      <w:r>
        <w:rPr>
          <w:rFonts w:hint="eastAsia"/>
        </w:rPr>
        <w:t>方法</w:t>
      </w:r>
    </w:p>
    <w:p>
      <w:r>
        <w:t></w:t>
      </w:r>
      <w:r>
        <w:tab/>
      </w:r>
      <w:r>
        <w:t>“jurisdiction-selecting” rules “</w:t>
      </w:r>
      <w:r>
        <w:rPr>
          <w:rFonts w:hint="eastAsia"/>
        </w:rPr>
        <w:t>管辖权选择”规则</w:t>
      </w:r>
    </w:p>
    <w:p>
      <w:r>
        <w:t></w:t>
      </w:r>
      <w:r>
        <w:tab/>
      </w:r>
      <w:r>
        <w:t xml:space="preserve">Brainerd Currie, governmental interest analysis </w:t>
      </w:r>
      <w:r>
        <w:rPr>
          <w:rFonts w:hint="eastAsia"/>
        </w:rPr>
        <w:t>柯里，政府利益分析说</w:t>
      </w:r>
    </w:p>
    <w:p>
      <w:r>
        <w:t></w:t>
      </w:r>
      <w:r>
        <w:tab/>
      </w:r>
      <w:r>
        <w:t xml:space="preserve">Robert A. Leflar, “Better-Law” Approach </w:t>
      </w:r>
      <w:r>
        <w:rPr>
          <w:rFonts w:hint="eastAsia"/>
        </w:rPr>
        <w:t>莱弗拉尔，“较好法”说</w:t>
      </w:r>
      <w:r>
        <w:t xml:space="preserve"> </w:t>
      </w:r>
    </w:p>
    <w:p>
      <w:r>
        <w:t></w:t>
      </w:r>
      <w:r>
        <w:tab/>
      </w:r>
      <w:r>
        <w:t>Albert A. Ehrenzweig</w:t>
      </w:r>
      <w:r>
        <w:rPr>
          <w:rFonts w:hint="eastAsia"/>
        </w:rPr>
        <w:t>，</w:t>
      </w:r>
      <w:r>
        <w:t xml:space="preserve">Doctrine of Lex Fori </w:t>
      </w:r>
      <w:r>
        <w:rPr>
          <w:rFonts w:hint="eastAsia"/>
        </w:rPr>
        <w:t>艾伦茨威格，法院地法说</w:t>
      </w:r>
    </w:p>
    <w:p>
      <w:r>
        <w:t></w:t>
      </w:r>
      <w:r>
        <w:tab/>
      </w:r>
      <w:r>
        <w:t xml:space="preserve">forum shopping </w:t>
      </w:r>
      <w:r>
        <w:rPr>
          <w:rFonts w:hint="eastAsia"/>
        </w:rPr>
        <w:t>挑选法院</w:t>
      </w:r>
    </w:p>
    <w:p>
      <w:r>
        <w:t></w:t>
      </w:r>
      <w:r>
        <w:tab/>
      </w:r>
      <w:r>
        <w:t xml:space="preserve">forum non conveniens </w:t>
      </w:r>
      <w:r>
        <w:rPr>
          <w:rFonts w:hint="eastAsia"/>
        </w:rPr>
        <w:t>不方便法院</w:t>
      </w:r>
    </w:p>
    <w:p>
      <w:r>
        <w:t></w:t>
      </w:r>
      <w:r>
        <w:tab/>
      </w:r>
      <w:r>
        <w:t xml:space="preserve">William Baxter, Comparative-Impairment Theory </w:t>
      </w:r>
      <w:r>
        <w:rPr>
          <w:rFonts w:hint="eastAsia"/>
        </w:rPr>
        <w:t>巴克斯特，比较损害说</w:t>
      </w:r>
    </w:p>
    <w:p>
      <w:pPr>
        <w:rPr>
          <w:rFonts w:hint="eastAsia"/>
        </w:rPr>
      </w:pPr>
      <w:r>
        <w:t></w:t>
      </w:r>
      <w:r>
        <w:tab/>
      </w:r>
      <w:r>
        <w:t xml:space="preserve">Willis L.M. Reese, </w:t>
      </w:r>
      <w:r>
        <w:rPr>
          <w:rFonts w:hint="eastAsia"/>
        </w:rPr>
        <w:t xml:space="preserve">the doctrine of </w:t>
      </w:r>
      <w:r>
        <w:t xml:space="preserve">“most-significant-relationship” </w:t>
      </w:r>
      <w:r>
        <w:rPr>
          <w:rFonts w:hint="eastAsia"/>
        </w:rPr>
        <w:t>里斯，最重要联系说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71ED9"/>
    <w:rsid w:val="2857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2018-12-05T14:59:00Z</dcterms:created>
  <dc:creator>既相依</dc:creator>
  <cp:lastModifiedBy>既相依</cp:lastModifiedBy>
  <dcterms:modified xsi:type="dcterms:W3CDTF">2018-12-05T14:59:26Z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