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306"/>
      </w:tblGrid>
      <w:tr w:rsidR="001215C1" w:rsidRPr="001215C1">
        <w:trPr>
          <w:tblCellSpacing w:w="0" w:type="dxa"/>
        </w:trPr>
        <w:tc>
          <w:tcPr>
            <w:tcW w:w="0" w:type="auto"/>
            <w:hideMark/>
          </w:tcPr>
          <w:p w:rsidR="001215C1" w:rsidRPr="001215C1" w:rsidRDefault="001215C1" w:rsidP="001215C1">
            <w:pPr>
              <w:widowControl/>
              <w:spacing w:line="330" w:lineRule="atLeast"/>
              <w:jc w:val="center"/>
              <w:textAlignment w:val="top"/>
              <w:rPr>
                <w:rFonts w:ascii="宋体" w:eastAsia="宋体" w:hAnsi="宋体" w:cs="宋体"/>
                <w:b/>
                <w:bCs/>
                <w:color w:val="2846A0"/>
                <w:kern w:val="0"/>
                <w:sz w:val="24"/>
                <w:szCs w:val="24"/>
              </w:rPr>
            </w:pPr>
            <w:r w:rsidRPr="001215C1">
              <w:rPr>
                <w:rFonts w:ascii="宋体" w:eastAsia="宋体" w:hAnsi="宋体" w:cs="宋体"/>
                <w:b/>
                <w:bCs/>
                <w:color w:val="2846A0"/>
                <w:kern w:val="0"/>
                <w:sz w:val="24"/>
                <w:szCs w:val="24"/>
              </w:rPr>
              <w:t>LTE时代，如何打造高效可靠的信令网？</w:t>
            </w:r>
          </w:p>
        </w:tc>
      </w:tr>
      <w:tr w:rsidR="001215C1" w:rsidRPr="001215C1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53"/>
              <w:gridCol w:w="4153"/>
            </w:tblGrid>
            <w:tr w:rsidR="001215C1" w:rsidRPr="001215C1">
              <w:trPr>
                <w:trHeight w:val="75"/>
                <w:tblCellSpacing w:w="0" w:type="dxa"/>
                <w:jc w:val="center"/>
              </w:trPr>
              <w:tc>
                <w:tcPr>
                  <w:tcW w:w="0" w:type="auto"/>
                  <w:gridSpan w:val="2"/>
                  <w:hideMark/>
                </w:tcPr>
                <w:p w:rsidR="001215C1" w:rsidRPr="001215C1" w:rsidRDefault="001215C1" w:rsidP="001215C1">
                  <w:pPr>
                    <w:widowControl/>
                    <w:spacing w:line="330" w:lineRule="atLeast"/>
                    <w:jc w:val="center"/>
                    <w:textAlignment w:val="top"/>
                    <w:rPr>
                      <w:rFonts w:ascii="宋体" w:eastAsia="宋体" w:hAnsi="宋体" w:cs="宋体"/>
                      <w:b/>
                      <w:bCs/>
                      <w:color w:val="2846A0"/>
                      <w:kern w:val="0"/>
                      <w:sz w:val="24"/>
                      <w:szCs w:val="24"/>
                    </w:rPr>
                  </w:pPr>
                </w:p>
              </w:tc>
            </w:tr>
            <w:tr w:rsidR="001215C1" w:rsidRPr="001215C1">
              <w:trPr>
                <w:tblCellSpacing w:w="0" w:type="dxa"/>
                <w:jc w:val="center"/>
              </w:trPr>
              <w:tc>
                <w:tcPr>
                  <w:tcW w:w="2500" w:type="pct"/>
                  <w:hideMark/>
                </w:tcPr>
                <w:p w:rsidR="001215C1" w:rsidRPr="001215C1" w:rsidRDefault="001215C1" w:rsidP="001215C1">
                  <w:pPr>
                    <w:widowControl/>
                    <w:spacing w:line="330" w:lineRule="atLeast"/>
                    <w:jc w:val="lef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  <w:tc>
                <w:tcPr>
                  <w:tcW w:w="2500" w:type="pct"/>
                  <w:hideMark/>
                </w:tcPr>
                <w:p w:rsidR="001215C1" w:rsidRPr="001215C1" w:rsidRDefault="001215C1" w:rsidP="001215C1">
                  <w:pPr>
                    <w:widowControl/>
                    <w:spacing w:line="330" w:lineRule="atLeast"/>
                    <w:jc w:val="lef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1215C1" w:rsidRPr="001215C1" w:rsidRDefault="001215C1" w:rsidP="001215C1">
            <w:pPr>
              <w:widowControl/>
              <w:spacing w:line="330" w:lineRule="atLeast"/>
              <w:jc w:val="center"/>
              <w:textAlignment w:val="top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1215C1" w:rsidRPr="001215C1">
        <w:trPr>
          <w:trHeight w:val="75"/>
          <w:tblCellSpacing w:w="0" w:type="dxa"/>
        </w:trPr>
        <w:tc>
          <w:tcPr>
            <w:tcW w:w="0" w:type="auto"/>
            <w:hideMark/>
          </w:tcPr>
          <w:p w:rsidR="001215C1" w:rsidRPr="001215C1" w:rsidRDefault="001215C1" w:rsidP="001215C1">
            <w:pPr>
              <w:widowControl/>
              <w:spacing w:line="330" w:lineRule="atLeast"/>
              <w:jc w:val="center"/>
              <w:textAlignment w:val="top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1215C1" w:rsidRPr="001215C1">
        <w:trPr>
          <w:tblCellSpacing w:w="0" w:type="dxa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881"/>
              <w:gridCol w:w="225"/>
              <w:gridCol w:w="4200"/>
            </w:tblGrid>
            <w:tr w:rsidR="001215C1" w:rsidRPr="001215C1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1215C1" w:rsidRPr="001215C1" w:rsidRDefault="001215C1" w:rsidP="001215C1">
                  <w:pPr>
                    <w:widowControl/>
                    <w:spacing w:line="330" w:lineRule="atLeast"/>
                    <w:jc w:val="right"/>
                    <w:textAlignment w:val="top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  <w:r w:rsidRPr="001215C1"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  <w:t>2014年5月16日 10:55  CCTIME飞</w:t>
                  </w:r>
                  <w:proofErr w:type="gramStart"/>
                  <w:r w:rsidRPr="001215C1"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  <w:t>象</w:t>
                  </w:r>
                  <w:proofErr w:type="gramEnd"/>
                  <w:r w:rsidRPr="001215C1"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  <w:t>网  作 者：彭涛</w:t>
                  </w:r>
                </w:p>
              </w:tc>
              <w:tc>
                <w:tcPr>
                  <w:tcW w:w="225" w:type="dxa"/>
                  <w:hideMark/>
                </w:tcPr>
                <w:p w:rsidR="001215C1" w:rsidRPr="001215C1" w:rsidRDefault="001215C1" w:rsidP="001215C1">
                  <w:pPr>
                    <w:widowControl/>
                    <w:spacing w:line="330" w:lineRule="atLeast"/>
                    <w:jc w:val="right"/>
                    <w:textAlignment w:val="top"/>
                    <w:rPr>
                      <w:rFonts w:ascii="宋体" w:eastAsia="宋体" w:hAnsi="宋体" w:cs="宋体"/>
                      <w:color w:val="666666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00" w:type="dxa"/>
                  <w:hideMark/>
                </w:tcPr>
                <w:p w:rsidR="001215C1" w:rsidRPr="001215C1" w:rsidRDefault="001215C1" w:rsidP="001215C1">
                  <w:pPr>
                    <w:widowControl/>
                    <w:spacing w:line="330" w:lineRule="atLeast"/>
                    <w:jc w:val="left"/>
                    <w:textAlignment w:val="top"/>
                    <w:rPr>
                      <w:rFonts w:ascii="Times New Roman" w:eastAsia="Times New Roman" w:hAnsi="Times New Roman" w:cs="Times New Roman"/>
                      <w:kern w:val="0"/>
                      <w:sz w:val="20"/>
                      <w:szCs w:val="20"/>
                    </w:rPr>
                  </w:pPr>
                </w:p>
              </w:tc>
            </w:tr>
          </w:tbl>
          <w:p w:rsidR="001215C1" w:rsidRPr="001215C1" w:rsidRDefault="001215C1" w:rsidP="001215C1">
            <w:pPr>
              <w:widowControl/>
              <w:spacing w:line="330" w:lineRule="atLeast"/>
              <w:jc w:val="left"/>
              <w:textAlignment w:val="top"/>
              <w:rPr>
                <w:rFonts w:ascii="宋体" w:eastAsia="宋体" w:hAnsi="宋体" w:cs="宋体"/>
                <w:color w:val="333333"/>
                <w:kern w:val="0"/>
                <w:szCs w:val="21"/>
              </w:rPr>
            </w:pPr>
          </w:p>
        </w:tc>
      </w:tr>
      <w:tr w:rsidR="001215C1" w:rsidRPr="001215C1">
        <w:trPr>
          <w:tblCellSpacing w:w="0" w:type="dxa"/>
        </w:trPr>
        <w:tc>
          <w:tcPr>
            <w:tcW w:w="0" w:type="auto"/>
            <w:tcMar>
              <w:top w:w="150" w:type="dxa"/>
              <w:left w:w="300" w:type="dxa"/>
              <w:bottom w:w="150" w:type="dxa"/>
              <w:right w:w="300" w:type="dxa"/>
            </w:tcMar>
            <w:hideMark/>
          </w:tcPr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left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    在传统固定网络和2G/</w:t>
            </w:r>
            <w:hyperlink r:id="rId4" w:tgtFrame="_blank" w:history="1">
              <w:r w:rsidRPr="001215C1">
                <w:rPr>
                  <w:rFonts w:ascii="宋体" w:eastAsia="宋体" w:hAnsi="宋体" w:cs="宋体"/>
                  <w:color w:val="0000FF"/>
                  <w:kern w:val="0"/>
                  <w:szCs w:val="21"/>
                </w:rPr>
                <w:t>3G</w:t>
              </w:r>
            </w:hyperlink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移动网络中，SS7数字信令网作为整个</w:t>
            </w: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fldChar w:fldCharType="begin"/>
            </w: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instrText xml:space="preserve"> HYPERLINK "http://www.cctime.com" \t "_blank" </w:instrText>
            </w: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fldChar w:fldCharType="separate"/>
            </w:r>
            <w:r w:rsidRPr="001215C1">
              <w:rPr>
                <w:rFonts w:ascii="宋体" w:eastAsia="宋体" w:hAnsi="宋体" w:cs="宋体"/>
                <w:color w:val="0000FF"/>
                <w:kern w:val="0"/>
                <w:szCs w:val="21"/>
              </w:rPr>
              <w:t>通信</w:t>
            </w: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fldChar w:fldCharType="end"/>
            </w: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网的神经，支撑着全网通信业务的稳定运行。而随着LTE时代的到来，信令技术和承载方式已完全IP化，网络拓扑已向全互联网状网发展，再加上基于EPC/PCC/IMS的LTE</w:t>
            </w:r>
            <w:proofErr w:type="gramStart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核心网</w:t>
            </w:r>
            <w:proofErr w:type="gramEnd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对网元之间的通信更加复杂和频繁，这就给LTE的</w:t>
            </w:r>
            <w:proofErr w:type="gramStart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信令网组网</w:t>
            </w:r>
            <w:proofErr w:type="gramEnd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带来了极大挑战。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left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b/>
                <w:bCs/>
                <w:color w:val="010101"/>
                <w:kern w:val="0"/>
                <w:szCs w:val="21"/>
              </w:rPr>
              <w:t>    LTE信令网络的组网关键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left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    Diameter在LTE</w:t>
            </w:r>
            <w:proofErr w:type="gramStart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核心网</w:t>
            </w:r>
            <w:proofErr w:type="gramEnd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架构中被广泛应用于</w:t>
            </w:r>
            <w:proofErr w:type="gramStart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核心网</w:t>
            </w:r>
            <w:proofErr w:type="gramEnd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元之间通信，是LTE网络中应用最广泛的IP信令基础协议。Diameter作为新一代AAA协议体系，主要用于认证、授权和计费，其通过不同的应用扩展可以适用于多种应用环境。随着LTE网络中大量网元之间使用Diameter信令互通，DRA(</w:t>
            </w:r>
            <w:proofErr w:type="spellStart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DiameterRoutingAgent</w:t>
            </w:r>
            <w:proofErr w:type="spellEnd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，路由代理)成为构建LTE信令网络的</w:t>
            </w:r>
            <w:proofErr w:type="gramStart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关键网</w:t>
            </w:r>
            <w:proofErr w:type="gramEnd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元。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left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    DRA类似传统2G/3G网络的信令转接点（STP），是LTE信令网中的信令路由中枢，负责LTE网络中Diameter信令的转接和路由，包括MME、HSS之间的S6a接口，PCRF与EPC的</w:t>
            </w:r>
            <w:proofErr w:type="spellStart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Gx</w:t>
            </w:r>
            <w:proofErr w:type="spellEnd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接口，未来在</w:t>
            </w:r>
            <w:proofErr w:type="spellStart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VoLTE</w:t>
            </w:r>
            <w:proofErr w:type="spellEnd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的部署时,DRA还可以承载</w:t>
            </w:r>
            <w:proofErr w:type="spellStart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Cx</w:t>
            </w:r>
            <w:proofErr w:type="spellEnd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、</w:t>
            </w:r>
            <w:proofErr w:type="spellStart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Sh</w:t>
            </w:r>
            <w:proofErr w:type="spellEnd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等接口之间的信令转接功能。DRA工作原理就是根据用户国际移动用户识别码（IMSI）、移动用户号码（MSISDN）、网络域（Realm）等信息进行域内LTE网元（例如HSS、PCRF）寻址或者域间DRA的寻址。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center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noProof/>
                <w:color w:val="010101"/>
                <w:kern w:val="0"/>
                <w:szCs w:val="21"/>
              </w:rPr>
              <w:lastRenderedPageBreak/>
              <w:drawing>
                <wp:inline distT="0" distB="0" distL="0" distR="0">
                  <wp:extent cx="3457575" cy="4352925"/>
                  <wp:effectExtent l="0" t="0" r="9525" b="9525"/>
                  <wp:docPr id="2" name="图片 2" descr="http://www.cctime.com/UpLoadFile/2014/5/15/2014515589231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cctime.com/UpLoadFile/2014/5/15/2014515589231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57575" cy="435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center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    图1  上海贝尔5020SGDRA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left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  </w:t>
            </w:r>
            <w:r w:rsidRPr="001215C1">
              <w:rPr>
                <w:rFonts w:ascii="宋体" w:eastAsia="宋体" w:hAnsi="宋体" w:cs="宋体"/>
                <w:b/>
                <w:bCs/>
                <w:color w:val="010101"/>
                <w:kern w:val="0"/>
                <w:szCs w:val="21"/>
              </w:rPr>
              <w:t>  5020SG DRA多层次组网方案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left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    上海贝尔很早就发现LTE网元之间激增的Diameter信令流会给运营商LTE组网带来很大挑战，因此在中国移动TD-LTE网络建设初期，就与中国移动携手合作，创新性地设计了5020SG  DRA。上海贝尔5020SG DRA基于最新ATCA通用硬件平台，与IMS、MME、HSS等网元共用同一硬件平台，并支持网络向新硬件平台的演进。该平台支持百万级Diameter信令消息处理能力和上万条Diameter链路，可强有力地支持超大型LTE</w:t>
            </w:r>
            <w:proofErr w:type="gramStart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信令网组网</w:t>
            </w:r>
            <w:proofErr w:type="gramEnd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和超高信令流量。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left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    针对大规模复杂LTE信令网，5020SG DRA可以提供多层次多方式的组网方案。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left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    1）省际/大区层面成对DRA节点之间可以采用两种组网方式：网状网组网、分A/B平面组网。这些DRA负责省际/大区之间Diameter信令中继和路由。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left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lastRenderedPageBreak/>
              <w:t>    2）省内层面成对部署DRA节点之间可以采用负荷分担或“1+1”冗余保护进行组网。这些DRA负责中继省内、省际Diameter信令。省内层面DRA与所属省/大区层面DRA相连。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center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noProof/>
                <w:color w:val="010101"/>
                <w:kern w:val="0"/>
                <w:szCs w:val="21"/>
              </w:rPr>
              <w:drawing>
                <wp:inline distT="0" distB="0" distL="0" distR="0">
                  <wp:extent cx="4467225" cy="2562225"/>
                  <wp:effectExtent l="0" t="0" r="9525" b="9525"/>
                  <wp:docPr id="1" name="图片 1" descr="http://www.cctime.com/UpLoadFile/2014/5/15/20145155898510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ctime.com/UpLoadFile/2014/5/15/20145155898510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67225" cy="2562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center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    图2  5020SG DRA组网方案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left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 xml:space="preserve">    </w:t>
            </w:r>
            <w:r w:rsidRPr="001215C1">
              <w:rPr>
                <w:rFonts w:ascii="宋体" w:eastAsia="宋体" w:hAnsi="宋体" w:cs="宋体"/>
                <w:b/>
                <w:bCs/>
                <w:color w:val="010101"/>
                <w:kern w:val="0"/>
                <w:szCs w:val="21"/>
              </w:rPr>
              <w:t>5020SG DRA的八大组网优势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left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    采用上海贝尔5020SG DRA组建LTE信令网，可以帮助运营商实现以下功能。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left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   </w:t>
            </w:r>
            <w:r w:rsidRPr="001215C1">
              <w:rPr>
                <w:rFonts w:ascii="宋体" w:eastAsia="宋体" w:hAnsi="宋体" w:cs="宋体"/>
                <w:b/>
                <w:bCs/>
                <w:color w:val="010101"/>
                <w:kern w:val="0"/>
                <w:szCs w:val="21"/>
              </w:rPr>
              <w:t xml:space="preserve"> 1）简化信令网结构</w:t>
            </w:r>
          </w:p>
          <w:p w:rsidR="001215C1" w:rsidRPr="001215C1" w:rsidRDefault="001215C1" w:rsidP="001215C1">
            <w:pPr>
              <w:widowControl/>
              <w:spacing w:before="100" w:beforeAutospacing="1" w:after="100" w:afterAutospacing="1" w:line="315" w:lineRule="atLeast"/>
              <w:jc w:val="left"/>
              <w:textAlignment w:val="top"/>
              <w:rPr>
                <w:rFonts w:ascii="宋体" w:eastAsia="宋体" w:hAnsi="宋体" w:cs="宋体"/>
                <w:color w:val="010101"/>
                <w:kern w:val="0"/>
                <w:szCs w:val="21"/>
              </w:rPr>
            </w:pPr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    消除多个LTE网元Diameter信令全互联方式下导致的网络复杂性，提升网络运行效率；降低Diameter信令组网对网元的要求，便于维护；层次化的网络结构，充分继承了传统</w:t>
            </w:r>
            <w:proofErr w:type="gramStart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信令网组网</w:t>
            </w:r>
            <w:proofErr w:type="gramEnd"/>
            <w:r w:rsidRPr="001215C1">
              <w:rPr>
                <w:rFonts w:ascii="宋体" w:eastAsia="宋体" w:hAnsi="宋体" w:cs="宋体"/>
                <w:color w:val="010101"/>
                <w:kern w:val="0"/>
                <w:szCs w:val="21"/>
              </w:rPr>
              <w:t>特点。</w:t>
            </w:r>
          </w:p>
        </w:tc>
      </w:tr>
    </w:tbl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lastRenderedPageBreak/>
        <w:t xml:space="preserve">  </w:t>
      </w:r>
      <w:r w:rsidRPr="001215C1">
        <w:rPr>
          <w:rFonts w:ascii="宋体" w:eastAsia="宋体" w:hAnsi="宋体" w:cs="宋体"/>
          <w:b/>
          <w:bCs/>
          <w:color w:val="010101"/>
          <w:kern w:val="0"/>
          <w:szCs w:val="21"/>
        </w:rPr>
        <w:t>2）增强信令网扩展性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>    全面支持多种网元接口，S6x、Rx、</w:t>
      </w:r>
      <w:proofErr w:type="spellStart"/>
      <w:r w:rsidRPr="001215C1">
        <w:rPr>
          <w:rFonts w:ascii="宋体" w:eastAsia="宋体" w:hAnsi="宋体" w:cs="宋体"/>
          <w:color w:val="010101"/>
          <w:kern w:val="0"/>
          <w:szCs w:val="21"/>
        </w:rPr>
        <w:t>Gx</w:t>
      </w:r>
      <w:proofErr w:type="spellEnd"/>
      <w:r w:rsidRPr="001215C1">
        <w:rPr>
          <w:rFonts w:ascii="宋体" w:eastAsia="宋体" w:hAnsi="宋体" w:cs="宋体"/>
          <w:color w:val="010101"/>
          <w:kern w:val="0"/>
          <w:szCs w:val="21"/>
        </w:rPr>
        <w:t>、</w:t>
      </w:r>
      <w:proofErr w:type="spellStart"/>
      <w:r w:rsidRPr="001215C1">
        <w:rPr>
          <w:rFonts w:ascii="宋体" w:eastAsia="宋体" w:hAnsi="宋体" w:cs="宋体"/>
          <w:color w:val="010101"/>
          <w:kern w:val="0"/>
          <w:szCs w:val="21"/>
        </w:rPr>
        <w:t>Cx</w:t>
      </w:r>
      <w:proofErr w:type="spellEnd"/>
      <w:r w:rsidRPr="001215C1">
        <w:rPr>
          <w:rFonts w:ascii="宋体" w:eastAsia="宋体" w:hAnsi="宋体" w:cs="宋体"/>
          <w:color w:val="010101"/>
          <w:kern w:val="0"/>
          <w:szCs w:val="21"/>
        </w:rPr>
        <w:t>、</w:t>
      </w:r>
      <w:proofErr w:type="spellStart"/>
      <w:r w:rsidRPr="001215C1">
        <w:rPr>
          <w:rFonts w:ascii="宋体" w:eastAsia="宋体" w:hAnsi="宋体" w:cs="宋体"/>
          <w:color w:val="010101"/>
          <w:kern w:val="0"/>
          <w:szCs w:val="21"/>
        </w:rPr>
        <w:t>Sh</w:t>
      </w:r>
      <w:proofErr w:type="spellEnd"/>
      <w:r w:rsidRPr="001215C1">
        <w:rPr>
          <w:rFonts w:ascii="宋体" w:eastAsia="宋体" w:hAnsi="宋体" w:cs="宋体"/>
          <w:color w:val="010101"/>
          <w:kern w:val="0"/>
          <w:szCs w:val="21"/>
        </w:rPr>
        <w:t>等；实现Diameter接口负载均衡；不受设备Diameter接口容量限制。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>  </w:t>
      </w:r>
      <w:r w:rsidRPr="001215C1">
        <w:rPr>
          <w:rFonts w:ascii="宋体" w:eastAsia="宋体" w:hAnsi="宋体" w:cs="宋体"/>
          <w:b/>
          <w:bCs/>
          <w:color w:val="010101"/>
          <w:kern w:val="0"/>
          <w:szCs w:val="21"/>
        </w:rPr>
        <w:t>  3）增强信令路由的灵活性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>    提供基于IMSI、APN、MSISDN、Realm、Host等多种方式的路由，满足LTE网络路由多样化需求。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 xml:space="preserve">    </w:t>
      </w:r>
      <w:r w:rsidRPr="001215C1">
        <w:rPr>
          <w:rFonts w:ascii="宋体" w:eastAsia="宋体" w:hAnsi="宋体" w:cs="宋体"/>
          <w:b/>
          <w:bCs/>
          <w:color w:val="010101"/>
          <w:kern w:val="0"/>
          <w:szCs w:val="21"/>
        </w:rPr>
        <w:t>4）增强信令网的互通性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lastRenderedPageBreak/>
        <w:t>    AVP处理技术可灵活适配不同厂家Diameter信令接口，保证跨厂商Diameter信令的互联互通。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 xml:space="preserve">    </w:t>
      </w:r>
      <w:r w:rsidRPr="001215C1">
        <w:rPr>
          <w:rFonts w:ascii="宋体" w:eastAsia="宋体" w:hAnsi="宋体" w:cs="宋体"/>
          <w:b/>
          <w:bCs/>
          <w:color w:val="010101"/>
          <w:kern w:val="0"/>
          <w:szCs w:val="21"/>
        </w:rPr>
        <w:t>5）增强信令网的可靠性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>    多重路由备份机制（负荷分担、循环检测、失败重选等）和同步功能；同时继承了STP网络完备的拥塞和过负荷处理机制，可充分保障信令网络的高可靠性和高可用性。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>  </w:t>
      </w:r>
      <w:r w:rsidRPr="001215C1">
        <w:rPr>
          <w:rFonts w:ascii="宋体" w:eastAsia="宋体" w:hAnsi="宋体" w:cs="宋体"/>
          <w:b/>
          <w:bCs/>
          <w:color w:val="010101"/>
          <w:kern w:val="0"/>
          <w:szCs w:val="21"/>
        </w:rPr>
        <w:t>  6）增强网络的安全性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>    提供关口局功能，例如消息过滤、信令屏蔽和网络拓扑隐藏等。作为边界网关隐藏了归属网络的拓扑结构，提高了网络安全性。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 xml:space="preserve">    </w:t>
      </w:r>
      <w:r w:rsidRPr="001215C1">
        <w:rPr>
          <w:rFonts w:ascii="宋体" w:eastAsia="宋体" w:hAnsi="宋体" w:cs="宋体"/>
          <w:b/>
          <w:bCs/>
          <w:color w:val="010101"/>
          <w:kern w:val="0"/>
          <w:szCs w:val="21"/>
        </w:rPr>
        <w:t>7）支持漫游业务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>    当移动用户漫游到其他网络时，支持在漫游网络与归属网络之间传递该用户的鉴权、认证、计费策略与计费消息信息。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b/>
          <w:bCs/>
          <w:color w:val="010101"/>
          <w:kern w:val="0"/>
          <w:szCs w:val="21"/>
        </w:rPr>
        <w:t>    8）支持未来融合的信令网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>    DRA和IPSTP可以在现有7号信令网上或者新建的Diameter信令网上融合，满足运营商对网络融合不同阶段的个性需求。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>  </w:t>
      </w:r>
      <w:r w:rsidRPr="001215C1">
        <w:rPr>
          <w:rFonts w:ascii="宋体" w:eastAsia="宋体" w:hAnsi="宋体" w:cs="宋体"/>
          <w:b/>
          <w:bCs/>
          <w:color w:val="010101"/>
          <w:kern w:val="0"/>
          <w:szCs w:val="21"/>
        </w:rPr>
        <w:t>  9）易于维护和管理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>    提供统一的信令网管理和操作；强大的信令跟踪功能简化了网络的维护和，并加快了故障的定位；简便的路由规划为后续快速扩大网络规模提供了保障，并降低了维护难度。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>    上海贝尔一直是信令网技术的领导者，在信令技术上具备强大的本土研发能力，上海贝尔DRA设计研发团队完全本地化，完全可以满足运营商的个性化业务需求。凭借先进的、具有高性能和高可靠性的DRA信令网平台，上海贝尔5020SG DRA获得了中国移动国内DRA</w:t>
      </w:r>
      <w:hyperlink r:id="rId7" w:tgtFrame="_blank" w:history="1">
        <w:r w:rsidRPr="001215C1">
          <w:rPr>
            <w:rFonts w:ascii="宋体" w:eastAsia="宋体" w:hAnsi="宋体" w:cs="宋体"/>
            <w:color w:val="0000FF"/>
            <w:kern w:val="0"/>
            <w:szCs w:val="21"/>
          </w:rPr>
          <w:t>市场</w:t>
        </w:r>
      </w:hyperlink>
      <w:r w:rsidRPr="001215C1">
        <w:rPr>
          <w:rFonts w:ascii="宋体" w:eastAsia="宋体" w:hAnsi="宋体" w:cs="宋体"/>
          <w:color w:val="010101"/>
          <w:kern w:val="0"/>
          <w:szCs w:val="21"/>
        </w:rPr>
        <w:t>份额的50%，并独家承建中国移动国际DRA网络。</w:t>
      </w:r>
    </w:p>
    <w:p w:rsidR="001215C1" w:rsidRPr="001215C1" w:rsidRDefault="001215C1" w:rsidP="001215C1">
      <w:pPr>
        <w:widowControl/>
        <w:spacing w:before="100" w:beforeAutospacing="1" w:after="100" w:afterAutospacing="1" w:line="315" w:lineRule="atLeast"/>
        <w:jc w:val="left"/>
        <w:textAlignment w:val="top"/>
        <w:rPr>
          <w:rFonts w:ascii="宋体" w:eastAsia="宋体" w:hAnsi="宋体" w:cs="宋体"/>
          <w:color w:val="010101"/>
          <w:kern w:val="0"/>
          <w:szCs w:val="21"/>
        </w:rPr>
      </w:pPr>
      <w:r w:rsidRPr="001215C1">
        <w:rPr>
          <w:rFonts w:ascii="宋体" w:eastAsia="宋体" w:hAnsi="宋体" w:cs="宋体"/>
          <w:color w:val="010101"/>
          <w:kern w:val="0"/>
          <w:szCs w:val="21"/>
        </w:rPr>
        <w:t>    为了保证中国移动TD-LTE网络的顺利商用，上海贝尔于2014年3月一次性成功完成中国移动七省DRA的第一阶段的同时割接。这次超高难度的割</w:t>
      </w:r>
      <w:proofErr w:type="gramStart"/>
      <w:r w:rsidRPr="001215C1">
        <w:rPr>
          <w:rFonts w:ascii="宋体" w:eastAsia="宋体" w:hAnsi="宋体" w:cs="宋体"/>
          <w:color w:val="010101"/>
          <w:kern w:val="0"/>
          <w:szCs w:val="21"/>
        </w:rPr>
        <w:t>接涉及</w:t>
      </w:r>
      <w:proofErr w:type="gramEnd"/>
      <w:r w:rsidRPr="001215C1">
        <w:rPr>
          <w:rFonts w:ascii="宋体" w:eastAsia="宋体" w:hAnsi="宋体" w:cs="宋体"/>
          <w:color w:val="010101"/>
          <w:kern w:val="0"/>
          <w:szCs w:val="21"/>
        </w:rPr>
        <w:t>浙江、广东、山东、四川、河南、河北、江苏七省新建的LTE Diameter信令网新建，是中国移动TD-LTE网络建设中关键一步。这次DRA的顺利割接，大大促进了中国移动TD-LTE网络的商用进程，并为后续</w:t>
      </w:r>
      <w:proofErr w:type="spellStart"/>
      <w:r w:rsidRPr="001215C1">
        <w:rPr>
          <w:rFonts w:ascii="宋体" w:eastAsia="宋体" w:hAnsi="宋体" w:cs="宋体"/>
          <w:color w:val="010101"/>
          <w:kern w:val="0"/>
          <w:szCs w:val="21"/>
        </w:rPr>
        <w:t>VoLTE</w:t>
      </w:r>
      <w:proofErr w:type="spellEnd"/>
      <w:r w:rsidRPr="001215C1">
        <w:rPr>
          <w:rFonts w:ascii="宋体" w:eastAsia="宋体" w:hAnsi="宋体" w:cs="宋体"/>
          <w:color w:val="010101"/>
          <w:kern w:val="0"/>
          <w:szCs w:val="21"/>
        </w:rPr>
        <w:t>的顺利商用奠定了坚实的基础。</w:t>
      </w:r>
    </w:p>
    <w:p w:rsidR="00AF1F87" w:rsidRPr="001215C1" w:rsidRDefault="001215C1" w:rsidP="001215C1">
      <w:r w:rsidRPr="001215C1">
        <w:rPr>
          <w:rFonts w:ascii="宋体" w:eastAsia="宋体" w:hAnsi="宋体" w:cs="宋体"/>
          <w:color w:val="010101"/>
          <w:kern w:val="0"/>
          <w:szCs w:val="21"/>
        </w:rPr>
        <w:t>    从固定网络到2G/3G网络，上海贝尔承担了国内7号信令网50%的网络建设，产品、研发和服务队伍有着强大的信令</w:t>
      </w:r>
      <w:proofErr w:type="gramStart"/>
      <w:r w:rsidRPr="001215C1">
        <w:rPr>
          <w:rFonts w:ascii="宋体" w:eastAsia="宋体" w:hAnsi="宋体" w:cs="宋体"/>
          <w:color w:val="010101"/>
          <w:kern w:val="0"/>
          <w:szCs w:val="21"/>
        </w:rPr>
        <w:t>网专家</w:t>
      </w:r>
      <w:proofErr w:type="gramEnd"/>
      <w:r w:rsidRPr="001215C1">
        <w:rPr>
          <w:rFonts w:ascii="宋体" w:eastAsia="宋体" w:hAnsi="宋体" w:cs="宋体"/>
          <w:color w:val="010101"/>
          <w:kern w:val="0"/>
          <w:szCs w:val="21"/>
        </w:rPr>
        <w:t>基础，并从这些项目中积累了丰富的传统信令网部署和维护经验。上海贝尔5020SG DRA平台将携多年信令网建设经验，将全力帮助运营商打造一张高效可靠的LTE信令网，这将有助于运营商推出经济高效的LTE服务，提升LTE网络运行的效率和速度，从而给客户带来更好的业务体验。</w:t>
      </w:r>
      <w:bookmarkStart w:id="0" w:name="_GoBack"/>
      <w:bookmarkEnd w:id="0"/>
    </w:p>
    <w:sectPr w:rsidR="00AF1F87" w:rsidRPr="001215C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5C1"/>
    <w:rsid w:val="001215C1"/>
    <w:rsid w:val="00AF1F87"/>
    <w:rsid w:val="00BF6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E0E55D-0E65-4B47-945F-F8A55791C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215C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21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ctime.com/marke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cctime.com/3G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407</Words>
  <Characters>2326</Characters>
  <Application>Microsoft Office Word</Application>
  <DocSecurity>0</DocSecurity>
  <Lines>19</Lines>
  <Paragraphs>5</Paragraphs>
  <ScaleCrop>false</ScaleCrop>
  <Company/>
  <LinksUpToDate>false</LinksUpToDate>
  <CharactersWithSpaces>2728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shen</dc:creator>
  <cp:keywords/>
  <dc:description/>
  <cp:lastModifiedBy>shen</cp:lastModifiedBy>
  <cp:revision>1</cp:revision>
  <dcterms:created xsi:type="dcterms:W3CDTF">2017-03-22T01:10:00Z</dcterms:created>
  <dcterms:modified xsi:type="dcterms:W3CDTF">2017-03-22T01:11:00Z</dcterms:modified>
</cp:coreProperties>
</file>