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215C1" w:rsidRPr="001215C1">
        <w:trPr>
          <w:tblCellSpacing w:w="0" w:type="dxa"/>
        </w:trPr>
        <w:tc>
          <w:tcPr>
            <w:tcW w:w="0" w:type="auto"/>
            <w:hideMark/>
          </w:tcPr>
          <w:p w:rsidR="001215C1" w:rsidRPr="001215C1" w:rsidRDefault="001215C1" w:rsidP="001215C1">
            <w:pPr>
              <w:widowControl/>
              <w:spacing w:line="330" w:lineRule="atLeast"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2846A0"/>
                <w:kern w:val="0"/>
                <w:sz w:val="24"/>
                <w:szCs w:val="24"/>
              </w:rPr>
            </w:pPr>
            <w:r w:rsidRPr="001215C1">
              <w:rPr>
                <w:rFonts w:ascii="宋体" w:eastAsia="宋体" w:hAnsi="宋体" w:cs="宋体"/>
                <w:b/>
                <w:bCs/>
                <w:color w:val="2846A0"/>
                <w:kern w:val="0"/>
                <w:sz w:val="24"/>
                <w:szCs w:val="24"/>
              </w:rPr>
              <w:t>LTE时代，如何打造高效可靠的信令网？</w:t>
            </w:r>
          </w:p>
        </w:tc>
      </w:tr>
      <w:tr w:rsidR="001215C1" w:rsidRPr="001215C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4153"/>
            </w:tblGrid>
            <w:tr w:rsidR="001215C1" w:rsidRPr="001215C1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215C1" w:rsidRPr="001215C1" w:rsidRDefault="001215C1" w:rsidP="001215C1">
                  <w:pPr>
                    <w:widowControl/>
                    <w:spacing w:line="330" w:lineRule="atLeast"/>
                    <w:jc w:val="center"/>
                    <w:textAlignment w:val="top"/>
                    <w:rPr>
                      <w:rFonts w:ascii="宋体" w:eastAsia="宋体" w:hAnsi="宋体" w:cs="宋体"/>
                      <w:b/>
                      <w:bCs/>
                      <w:color w:val="2846A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215C1" w:rsidRPr="001215C1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p w:rsidR="001215C1" w:rsidRPr="001215C1" w:rsidRDefault="001215C1" w:rsidP="001215C1">
                  <w:pPr>
                    <w:widowControl/>
                    <w:spacing w:line="330" w:lineRule="atLeast"/>
                    <w:jc w:val="lef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1215C1" w:rsidRPr="001215C1" w:rsidRDefault="001215C1" w:rsidP="001215C1">
                  <w:pPr>
                    <w:widowControl/>
                    <w:spacing w:line="330" w:lineRule="atLeast"/>
                    <w:jc w:val="lef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215C1" w:rsidRPr="001215C1" w:rsidRDefault="001215C1" w:rsidP="001215C1">
            <w:pPr>
              <w:widowControl/>
              <w:spacing w:line="33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215C1" w:rsidRPr="001215C1">
        <w:trPr>
          <w:trHeight w:val="75"/>
          <w:tblCellSpacing w:w="0" w:type="dxa"/>
        </w:trPr>
        <w:tc>
          <w:tcPr>
            <w:tcW w:w="0" w:type="auto"/>
            <w:hideMark/>
          </w:tcPr>
          <w:p w:rsidR="001215C1" w:rsidRPr="001215C1" w:rsidRDefault="001215C1" w:rsidP="001215C1">
            <w:pPr>
              <w:widowControl/>
              <w:spacing w:line="33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15C1" w:rsidRPr="001215C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1"/>
              <w:gridCol w:w="225"/>
              <w:gridCol w:w="4200"/>
            </w:tblGrid>
            <w:tr w:rsidR="001215C1" w:rsidRPr="001215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15C1" w:rsidRPr="001215C1" w:rsidRDefault="001215C1" w:rsidP="001215C1">
                  <w:pPr>
                    <w:widowControl/>
                    <w:spacing w:line="330" w:lineRule="atLeast"/>
                    <w:jc w:val="right"/>
                    <w:textAlignment w:val="top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1215C1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2014年5月16日 10:55  CCTIME飞</w:t>
                  </w:r>
                  <w:proofErr w:type="gramStart"/>
                  <w:r w:rsidRPr="001215C1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象</w:t>
                  </w:r>
                  <w:proofErr w:type="gramEnd"/>
                  <w:r w:rsidRPr="001215C1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网  作 者：彭涛</w:t>
                  </w:r>
                </w:p>
              </w:tc>
              <w:tc>
                <w:tcPr>
                  <w:tcW w:w="225" w:type="dxa"/>
                  <w:hideMark/>
                </w:tcPr>
                <w:p w:rsidR="001215C1" w:rsidRPr="001215C1" w:rsidRDefault="001215C1" w:rsidP="001215C1">
                  <w:pPr>
                    <w:widowControl/>
                    <w:spacing w:line="330" w:lineRule="atLeast"/>
                    <w:jc w:val="right"/>
                    <w:textAlignment w:val="top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hideMark/>
                </w:tcPr>
                <w:p w:rsidR="001215C1" w:rsidRPr="001215C1" w:rsidRDefault="001215C1" w:rsidP="001215C1">
                  <w:pPr>
                    <w:widowControl/>
                    <w:spacing w:line="330" w:lineRule="atLeast"/>
                    <w:jc w:val="lef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215C1" w:rsidRPr="001215C1" w:rsidRDefault="001215C1" w:rsidP="001215C1">
            <w:pPr>
              <w:widowControl/>
              <w:spacing w:line="330" w:lineRule="atLeast"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215C1" w:rsidRPr="001215C1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在传统固定网络和2G/</w:t>
            </w:r>
            <w:hyperlink r:id="rId4" w:tgtFrame="_blank" w:history="1">
              <w:r w:rsidRPr="001215C1">
                <w:rPr>
                  <w:rFonts w:ascii="宋体" w:eastAsia="宋体" w:hAnsi="宋体" w:cs="宋体"/>
                  <w:color w:val="0000FF"/>
                  <w:kern w:val="0"/>
                  <w:szCs w:val="21"/>
                </w:rPr>
                <w:t>3G</w:t>
              </w:r>
            </w:hyperlink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移动网络中，SS7数字信令网作为整个</w:t>
            </w: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fldChar w:fldCharType="begin"/>
            </w: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instrText xml:space="preserve"> HYPERLINK "http://www.cctime.com" \t "_blank" </w:instrText>
            </w: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fldChar w:fldCharType="separate"/>
            </w:r>
            <w:r w:rsidRPr="001215C1">
              <w:rPr>
                <w:rFonts w:ascii="宋体" w:eastAsia="宋体" w:hAnsi="宋体" w:cs="宋体"/>
                <w:color w:val="0000FF"/>
                <w:kern w:val="0"/>
                <w:szCs w:val="21"/>
              </w:rPr>
              <w:t>通信</w:t>
            </w: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fldChar w:fldCharType="end"/>
            </w: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网的神经，支撑着全网通信业务的稳定运行。而随着LTE时代的到来，信令技术和承载方式已完全IP化，网络拓扑已向全互联网状网发展，再加上基于EPC/PCC/IMS的LTE</w:t>
            </w:r>
            <w:proofErr w:type="gram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核心网</w:t>
            </w:r>
            <w:proofErr w:type="gram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对网元之间的通信更加复杂和频繁，这就给LTE的</w:t>
            </w:r>
            <w:proofErr w:type="gram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信令网组网</w:t>
            </w:r>
            <w:proofErr w:type="gram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带来了极大挑战。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b/>
                <w:bCs/>
                <w:color w:val="010101"/>
                <w:kern w:val="0"/>
                <w:szCs w:val="21"/>
              </w:rPr>
              <w:t>    LTE信令网络的组网关键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Diameter在LTE</w:t>
            </w:r>
            <w:proofErr w:type="gram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核心网</w:t>
            </w:r>
            <w:proofErr w:type="gram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架构中被广泛应用于</w:t>
            </w:r>
            <w:proofErr w:type="gram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核心网</w:t>
            </w:r>
            <w:proofErr w:type="gram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元之间通信，是LTE网络中应用最广泛的IP信令基础协议。Diameter作为新一代AAA协议体系，主要用于认证、授权和计费，其通过不同的应用扩展可以适用于多种应用环境。随着LTE网络中大量网元之间使用Diameter信令互通，DRA(</w:t>
            </w:r>
            <w:proofErr w:type="spell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DiameterRoutingAgent</w:t>
            </w:r>
            <w:proofErr w:type="spell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，路由代理)成为构建LTE信令网络的</w:t>
            </w:r>
            <w:proofErr w:type="gram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关键网</w:t>
            </w:r>
            <w:proofErr w:type="gram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元。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DRA类似传统2G/3G网络的信令转接点（STP），是LTE信令网中的信令路由中枢，负责LTE网络中Diameter信令的转接和路由，包括MME、HSS之间的S6a接口，PCRF与EPC的</w:t>
            </w:r>
            <w:proofErr w:type="spell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Gx</w:t>
            </w:r>
            <w:proofErr w:type="spell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接口，未来在</w:t>
            </w:r>
            <w:proofErr w:type="spell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VoLTE</w:t>
            </w:r>
            <w:proofErr w:type="spell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的部署时,DRA还可以承载</w:t>
            </w:r>
            <w:proofErr w:type="spell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Cx</w:t>
            </w:r>
            <w:proofErr w:type="spell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、</w:t>
            </w:r>
            <w:proofErr w:type="spell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Sh</w:t>
            </w:r>
            <w:proofErr w:type="spell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等接口之间的信令转接功能。DRA工作原理就是根据用户国际移动用户识别码（IMSI）、移动用户号码（MSISDN）、网络域（Realm）等信息进行域内LTE网元（例如HSS、PCRF）寻址或者域间DRA的寻址。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center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noProof/>
                <w:color w:val="010101"/>
                <w:kern w:val="0"/>
                <w:szCs w:val="21"/>
              </w:rPr>
              <w:lastRenderedPageBreak/>
              <w:drawing>
                <wp:inline distT="0" distB="0" distL="0" distR="0">
                  <wp:extent cx="3457575" cy="4352925"/>
                  <wp:effectExtent l="0" t="0" r="9525" b="9525"/>
                  <wp:docPr id="2" name="图片 2" descr="http://www.cctime.com/UpLoadFile/2014/5/15/201451558923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ctime.com/UpLoadFile/2014/5/15/201451558923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center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图1  上海贝尔5020SGDRA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</w:t>
            </w:r>
            <w:r w:rsidRPr="001215C1">
              <w:rPr>
                <w:rFonts w:ascii="宋体" w:eastAsia="宋体" w:hAnsi="宋体" w:cs="宋体"/>
                <w:b/>
                <w:bCs/>
                <w:color w:val="010101"/>
                <w:kern w:val="0"/>
                <w:szCs w:val="21"/>
              </w:rPr>
              <w:t>  5020SG DRA多层次组网方案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上海贝尔很早就发现LTE网元之间激增的Diameter信令流会给运营商LTE组网带来很大挑战，因此在中国移动TD-LTE网络建设初期，就与中国移动携手合作，创新性地设计了5020SG  DRA。上海贝尔5020SG DRA基于最新ATCA通用硬件平台，与IMS、MME、HSS等网元共用同一硬件平台，并支持网络向新硬件平台的演进。该平台支持百万级Diameter信令消息处理能力和上万条Diameter链路，可强有力地支持超大型LTE</w:t>
            </w:r>
            <w:proofErr w:type="gram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信令网组网</w:t>
            </w:r>
            <w:proofErr w:type="gram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和超高信令流量。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针对大规模复杂LTE信令网，5020SG DRA可以提供多层次多方式的组网方案。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1）省际/大区层面成对DRA节点之间可以采用两种组网方式：网状网组网、分A/B平面组网。这些DRA负责省际/大区之间Diameter信令中继和路由。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lastRenderedPageBreak/>
              <w:t>    2）省内层面成对部署DRA节点之间可以采用负荷分担或“1+1”冗余保护进行组网。这些DRA负责中继省内、省际Diameter信令。省内层面DRA与所属省/大区层面DRA相连。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center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noProof/>
                <w:color w:val="010101"/>
                <w:kern w:val="0"/>
                <w:szCs w:val="21"/>
              </w:rPr>
              <w:drawing>
                <wp:inline distT="0" distB="0" distL="0" distR="0">
                  <wp:extent cx="4467225" cy="2562225"/>
                  <wp:effectExtent l="0" t="0" r="9525" b="9525"/>
                  <wp:docPr id="1" name="图片 1" descr="http://www.cctime.com/UpLoadFile/2014/5/15/201451558985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ctime.com/UpLoadFile/2014/5/15/201451558985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center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图2  5020SG DRA组网方案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 xml:space="preserve">    </w:t>
            </w:r>
            <w:r w:rsidRPr="001215C1">
              <w:rPr>
                <w:rFonts w:ascii="宋体" w:eastAsia="宋体" w:hAnsi="宋体" w:cs="宋体"/>
                <w:b/>
                <w:bCs/>
                <w:color w:val="010101"/>
                <w:kern w:val="0"/>
                <w:szCs w:val="21"/>
              </w:rPr>
              <w:t>5020SG DRA的八大组网优势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采用上海贝尔5020SG DRA组建LTE信令网，可以帮助运营商实现以下功能。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</w:t>
            </w:r>
            <w:r w:rsidRPr="001215C1">
              <w:rPr>
                <w:rFonts w:ascii="宋体" w:eastAsia="宋体" w:hAnsi="宋体" w:cs="宋体"/>
                <w:b/>
                <w:bCs/>
                <w:color w:val="010101"/>
                <w:kern w:val="0"/>
                <w:szCs w:val="21"/>
              </w:rPr>
              <w:t xml:space="preserve"> 1）简化信令网结构</w:t>
            </w:r>
          </w:p>
          <w:p w:rsidR="001215C1" w:rsidRPr="001215C1" w:rsidRDefault="001215C1" w:rsidP="001215C1">
            <w:pPr>
              <w:widowControl/>
              <w:spacing w:before="100" w:beforeAutospacing="1" w:after="100" w:afterAutospacing="1" w:line="315" w:lineRule="atLeast"/>
              <w:jc w:val="left"/>
              <w:textAlignment w:val="top"/>
              <w:rPr>
                <w:rFonts w:ascii="宋体" w:eastAsia="宋体" w:hAnsi="宋体" w:cs="宋体"/>
                <w:color w:val="010101"/>
                <w:kern w:val="0"/>
                <w:szCs w:val="21"/>
              </w:rPr>
            </w:pPr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    消除多个LTE网元Diameter信令全互联方式下导致的网络复杂性，提升网络运行效率；降低Diameter信令组网对网元的要求，便于维护；层次化的网络结构，充分继承了传统</w:t>
            </w:r>
            <w:proofErr w:type="gramStart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信令网组网</w:t>
            </w:r>
            <w:proofErr w:type="gramEnd"/>
            <w:r w:rsidRPr="001215C1">
              <w:rPr>
                <w:rFonts w:ascii="宋体" w:eastAsia="宋体" w:hAnsi="宋体" w:cs="宋体"/>
                <w:color w:val="010101"/>
                <w:kern w:val="0"/>
                <w:szCs w:val="21"/>
              </w:rPr>
              <w:t>特点。</w:t>
            </w:r>
          </w:p>
        </w:tc>
      </w:tr>
    </w:tbl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lastRenderedPageBreak/>
        <w:t xml:space="preserve">  </w:t>
      </w:r>
      <w:r w:rsidRPr="001215C1">
        <w:rPr>
          <w:rFonts w:ascii="宋体" w:eastAsia="宋体" w:hAnsi="宋体" w:cs="宋体"/>
          <w:b/>
          <w:bCs/>
          <w:color w:val="010101"/>
          <w:kern w:val="0"/>
          <w:szCs w:val="21"/>
        </w:rPr>
        <w:t>2）增强信令网扩展性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全面支持多种网元接口，S6x、Rx、</w:t>
      </w:r>
      <w:proofErr w:type="spellStart"/>
      <w:r w:rsidRPr="001215C1">
        <w:rPr>
          <w:rFonts w:ascii="宋体" w:eastAsia="宋体" w:hAnsi="宋体" w:cs="宋体"/>
          <w:color w:val="010101"/>
          <w:kern w:val="0"/>
          <w:szCs w:val="21"/>
        </w:rPr>
        <w:t>Gx</w:t>
      </w:r>
      <w:proofErr w:type="spellEnd"/>
      <w:r w:rsidRPr="001215C1">
        <w:rPr>
          <w:rFonts w:ascii="宋体" w:eastAsia="宋体" w:hAnsi="宋体" w:cs="宋体"/>
          <w:color w:val="010101"/>
          <w:kern w:val="0"/>
          <w:szCs w:val="21"/>
        </w:rPr>
        <w:t>、</w:t>
      </w:r>
      <w:proofErr w:type="spellStart"/>
      <w:r w:rsidRPr="001215C1">
        <w:rPr>
          <w:rFonts w:ascii="宋体" w:eastAsia="宋体" w:hAnsi="宋体" w:cs="宋体"/>
          <w:color w:val="010101"/>
          <w:kern w:val="0"/>
          <w:szCs w:val="21"/>
        </w:rPr>
        <w:t>Cx</w:t>
      </w:r>
      <w:proofErr w:type="spellEnd"/>
      <w:r w:rsidRPr="001215C1">
        <w:rPr>
          <w:rFonts w:ascii="宋体" w:eastAsia="宋体" w:hAnsi="宋体" w:cs="宋体"/>
          <w:color w:val="010101"/>
          <w:kern w:val="0"/>
          <w:szCs w:val="21"/>
        </w:rPr>
        <w:t>、</w:t>
      </w:r>
      <w:proofErr w:type="spellStart"/>
      <w:r w:rsidRPr="001215C1">
        <w:rPr>
          <w:rFonts w:ascii="宋体" w:eastAsia="宋体" w:hAnsi="宋体" w:cs="宋体"/>
          <w:color w:val="010101"/>
          <w:kern w:val="0"/>
          <w:szCs w:val="21"/>
        </w:rPr>
        <w:t>Sh</w:t>
      </w:r>
      <w:proofErr w:type="spellEnd"/>
      <w:r w:rsidRPr="001215C1">
        <w:rPr>
          <w:rFonts w:ascii="宋体" w:eastAsia="宋体" w:hAnsi="宋体" w:cs="宋体"/>
          <w:color w:val="010101"/>
          <w:kern w:val="0"/>
          <w:szCs w:val="21"/>
        </w:rPr>
        <w:t>等；实现Diameter接口负载均衡；不受设备Diameter接口容量限制。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</w:t>
      </w:r>
      <w:r w:rsidRPr="001215C1">
        <w:rPr>
          <w:rFonts w:ascii="宋体" w:eastAsia="宋体" w:hAnsi="宋体" w:cs="宋体"/>
          <w:b/>
          <w:bCs/>
          <w:color w:val="010101"/>
          <w:kern w:val="0"/>
          <w:szCs w:val="21"/>
        </w:rPr>
        <w:t>  3）增强信令路由的灵活性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提供基于IMSI、APN、MSISDN、Realm、Host等多种方式的路由，满足LTE网络路由多样化需求。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 xml:space="preserve">    </w:t>
      </w:r>
      <w:r w:rsidRPr="001215C1">
        <w:rPr>
          <w:rFonts w:ascii="宋体" w:eastAsia="宋体" w:hAnsi="宋体" w:cs="宋体"/>
          <w:b/>
          <w:bCs/>
          <w:color w:val="010101"/>
          <w:kern w:val="0"/>
          <w:szCs w:val="21"/>
        </w:rPr>
        <w:t>4）增强信令网的互通性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lastRenderedPageBreak/>
        <w:t>    AVP处理技术可灵活适配不同厂家Diameter信令接口，保证跨厂商Diameter信令的互联互通。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 xml:space="preserve">    </w:t>
      </w:r>
      <w:r w:rsidRPr="001215C1">
        <w:rPr>
          <w:rFonts w:ascii="宋体" w:eastAsia="宋体" w:hAnsi="宋体" w:cs="宋体"/>
          <w:b/>
          <w:bCs/>
          <w:color w:val="010101"/>
          <w:kern w:val="0"/>
          <w:szCs w:val="21"/>
        </w:rPr>
        <w:t>5）增强信令网的可靠性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多重路由备份机制（负荷分担、循环检测、失败重选等）和同步功能；同时继承了STP网络完备的拥塞和过负荷处理机制，可充分保障信令网络的高可靠性和高可用性。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</w:t>
      </w:r>
      <w:r w:rsidRPr="001215C1">
        <w:rPr>
          <w:rFonts w:ascii="宋体" w:eastAsia="宋体" w:hAnsi="宋体" w:cs="宋体"/>
          <w:b/>
          <w:bCs/>
          <w:color w:val="010101"/>
          <w:kern w:val="0"/>
          <w:szCs w:val="21"/>
        </w:rPr>
        <w:t>  6）增强网络的安全性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提供关口局功能，例如消息过滤、信令屏蔽和网络拓扑隐藏等。作为边界网关隐藏了归属网络的拓扑结构，提高了网络安全性。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 xml:space="preserve">    </w:t>
      </w:r>
      <w:r w:rsidRPr="001215C1">
        <w:rPr>
          <w:rFonts w:ascii="宋体" w:eastAsia="宋体" w:hAnsi="宋体" w:cs="宋体"/>
          <w:b/>
          <w:bCs/>
          <w:color w:val="010101"/>
          <w:kern w:val="0"/>
          <w:szCs w:val="21"/>
        </w:rPr>
        <w:t>7）支持漫游业务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当移动用户漫游到其他网络时，支持在漫游网络与归属网络之间传递该用户的鉴权、认证、计费策略与计费消息信息。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b/>
          <w:bCs/>
          <w:color w:val="010101"/>
          <w:kern w:val="0"/>
          <w:szCs w:val="21"/>
        </w:rPr>
        <w:t>    8）支持未来融合的信令网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DRA和IPSTP可以在现有7号信令网上或者新建的Diameter信令网上融合，满足运营商对网络融合不同阶段的个性需求。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</w:t>
      </w:r>
      <w:r w:rsidRPr="001215C1">
        <w:rPr>
          <w:rFonts w:ascii="宋体" w:eastAsia="宋体" w:hAnsi="宋体" w:cs="宋体"/>
          <w:b/>
          <w:bCs/>
          <w:color w:val="010101"/>
          <w:kern w:val="0"/>
          <w:szCs w:val="21"/>
        </w:rPr>
        <w:t>  9）易于维护和管理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提供统一的信令网管理和操作；强大的信令跟踪功能简化了网络的维护和，并加快了故障的定位；简便的路由规划为后续快速扩大网络规模提供了保障，并降低了维护难度。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上海贝尔一直是信令网技术的领导者，在信令技术上具备强大的本土研发能力，上海贝尔DRA设计研发团队完全本地化，完全可以满足运营商的个性化业务需求。凭借先进的、具有高性能和高可靠性的DRA信令网平台，上海贝尔5020SG DRA获得了中国移动国内DRA</w:t>
      </w:r>
      <w:hyperlink r:id="rId7" w:tgtFrame="_blank" w:history="1">
        <w:r w:rsidRPr="001215C1">
          <w:rPr>
            <w:rFonts w:ascii="宋体" w:eastAsia="宋体" w:hAnsi="宋体" w:cs="宋体"/>
            <w:color w:val="0000FF"/>
            <w:kern w:val="0"/>
            <w:szCs w:val="21"/>
          </w:rPr>
          <w:t>市场</w:t>
        </w:r>
      </w:hyperlink>
      <w:r w:rsidRPr="001215C1">
        <w:rPr>
          <w:rFonts w:ascii="宋体" w:eastAsia="宋体" w:hAnsi="宋体" w:cs="宋体"/>
          <w:color w:val="010101"/>
          <w:kern w:val="0"/>
          <w:szCs w:val="21"/>
        </w:rPr>
        <w:t>份额的50%，并独家承建中国移动国际DRA网络。</w:t>
      </w:r>
    </w:p>
    <w:p w:rsidR="001215C1" w:rsidRPr="001215C1" w:rsidRDefault="001215C1" w:rsidP="001215C1">
      <w:pPr>
        <w:widowControl/>
        <w:spacing w:before="100" w:beforeAutospacing="1" w:after="100" w:afterAutospacing="1" w:line="315" w:lineRule="atLeast"/>
        <w:jc w:val="left"/>
        <w:textAlignment w:val="top"/>
        <w:rPr>
          <w:rFonts w:ascii="宋体" w:eastAsia="宋体" w:hAnsi="宋体" w:cs="宋体"/>
          <w:color w:val="010101"/>
          <w:kern w:val="0"/>
          <w:szCs w:val="21"/>
        </w:rPr>
      </w:pPr>
      <w:r w:rsidRPr="001215C1">
        <w:rPr>
          <w:rFonts w:ascii="宋体" w:eastAsia="宋体" w:hAnsi="宋体" w:cs="宋体"/>
          <w:color w:val="010101"/>
          <w:kern w:val="0"/>
          <w:szCs w:val="21"/>
        </w:rPr>
        <w:t>    为了保证中国移动TD-LTE网络的顺利商用，上海贝尔于2014年3月一次性成功完成中国移动七省DRA的第一阶段的同时割接。这次超高难度的割</w:t>
      </w:r>
      <w:proofErr w:type="gramStart"/>
      <w:r w:rsidRPr="001215C1">
        <w:rPr>
          <w:rFonts w:ascii="宋体" w:eastAsia="宋体" w:hAnsi="宋体" w:cs="宋体"/>
          <w:color w:val="010101"/>
          <w:kern w:val="0"/>
          <w:szCs w:val="21"/>
        </w:rPr>
        <w:t>接涉及</w:t>
      </w:r>
      <w:proofErr w:type="gramEnd"/>
      <w:r w:rsidRPr="001215C1">
        <w:rPr>
          <w:rFonts w:ascii="宋体" w:eastAsia="宋体" w:hAnsi="宋体" w:cs="宋体"/>
          <w:color w:val="010101"/>
          <w:kern w:val="0"/>
          <w:szCs w:val="21"/>
        </w:rPr>
        <w:t>浙江、广东、山东、四川、河南、河北、江苏七省新建的LTE Diameter信令网新建，是中国移动TD-LTE网络建设中关键一步。这次DRA的顺利割接，大大促进了中国移动TD-LTE网络的商用进程，并为后续</w:t>
      </w:r>
      <w:proofErr w:type="spellStart"/>
      <w:r w:rsidRPr="001215C1">
        <w:rPr>
          <w:rFonts w:ascii="宋体" w:eastAsia="宋体" w:hAnsi="宋体" w:cs="宋体"/>
          <w:color w:val="010101"/>
          <w:kern w:val="0"/>
          <w:szCs w:val="21"/>
        </w:rPr>
        <w:t>VoLTE</w:t>
      </w:r>
      <w:proofErr w:type="spellEnd"/>
      <w:r w:rsidRPr="001215C1">
        <w:rPr>
          <w:rFonts w:ascii="宋体" w:eastAsia="宋体" w:hAnsi="宋体" w:cs="宋体"/>
          <w:color w:val="010101"/>
          <w:kern w:val="0"/>
          <w:szCs w:val="21"/>
        </w:rPr>
        <w:t>的顺利商用奠定了坚实的基础。</w:t>
      </w:r>
    </w:p>
    <w:p w:rsidR="00AF1F87" w:rsidRPr="001215C1" w:rsidRDefault="001215C1" w:rsidP="001215C1">
      <w:r w:rsidRPr="001215C1">
        <w:rPr>
          <w:rFonts w:ascii="宋体" w:eastAsia="宋体" w:hAnsi="宋体" w:cs="宋体"/>
          <w:color w:val="010101"/>
          <w:kern w:val="0"/>
          <w:szCs w:val="21"/>
        </w:rPr>
        <w:t>    从固定网络到2G/3G网络，上海贝尔承担了国内7号信令网50%的网络建设，产品、研发和服务队伍有着强大的信令</w:t>
      </w:r>
      <w:proofErr w:type="gramStart"/>
      <w:r w:rsidRPr="001215C1">
        <w:rPr>
          <w:rFonts w:ascii="宋体" w:eastAsia="宋体" w:hAnsi="宋体" w:cs="宋体"/>
          <w:color w:val="010101"/>
          <w:kern w:val="0"/>
          <w:szCs w:val="21"/>
        </w:rPr>
        <w:t>网专家</w:t>
      </w:r>
      <w:proofErr w:type="gramEnd"/>
      <w:r w:rsidRPr="001215C1">
        <w:rPr>
          <w:rFonts w:ascii="宋体" w:eastAsia="宋体" w:hAnsi="宋体" w:cs="宋体"/>
          <w:color w:val="010101"/>
          <w:kern w:val="0"/>
          <w:szCs w:val="21"/>
        </w:rPr>
        <w:t>基础，并从这些项目中积累了丰富的传统信令网部署和维护经验。上海贝尔5020SG DRA平台将携多年信令网建设经验，将全力帮助运营商打造一张高效可靠的LTE信令网，这将有助于运营商推出经济高效的LTE服务，提升LTE网络运行的效率和速度，从而给客户带来更好的业务体验。</w:t>
      </w:r>
      <w:bookmarkStart w:id="0" w:name="_GoBack"/>
      <w:bookmarkEnd w:id="0"/>
    </w:p>
    <w:sectPr w:rsidR="00AF1F87" w:rsidRPr="0012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C1"/>
    <w:rsid w:val="001215C1"/>
    <w:rsid w:val="00AF1F87"/>
    <w:rsid w:val="00B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0E55D-0E65-4B47-945F-F8A55791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time.com/mark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ctime.com/3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1</cp:revision>
  <dcterms:created xsi:type="dcterms:W3CDTF">2017-03-22T01:10:00Z</dcterms:created>
  <dcterms:modified xsi:type="dcterms:W3CDTF">2017-03-22T01:11:00Z</dcterms:modified>
</cp:coreProperties>
</file>